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E5E" w:rsidRDefault="00257E5E" w:rsidP="00257E5E">
      <w:pPr>
        <w:pStyle w:val="NoSpacing"/>
        <w:jc w:val="right"/>
      </w:pPr>
      <w:r>
        <w:t xml:space="preserve">Melissa </w:t>
      </w:r>
      <w:proofErr w:type="spellStart"/>
      <w:r>
        <w:t>Novy</w:t>
      </w:r>
      <w:proofErr w:type="spellEnd"/>
      <w:r>
        <w:t xml:space="preserve">, Dhea Patel, </w:t>
      </w:r>
      <w:proofErr w:type="spellStart"/>
      <w:r>
        <w:t>Keyun</w:t>
      </w:r>
      <w:proofErr w:type="spellEnd"/>
      <w:r>
        <w:t xml:space="preserve"> Wang</w:t>
      </w:r>
    </w:p>
    <w:p w:rsidR="00257E5E" w:rsidRDefault="00257E5E" w:rsidP="00257E5E">
      <w:pPr>
        <w:pStyle w:val="NoSpacing"/>
        <w:jc w:val="right"/>
      </w:pPr>
      <w:r>
        <w:t>September 27, 2012</w:t>
      </w:r>
    </w:p>
    <w:p w:rsidR="00257E5E" w:rsidRDefault="00257E5E" w:rsidP="00257E5E">
      <w:pPr>
        <w:pStyle w:val="NoSpacing"/>
        <w:jc w:val="right"/>
      </w:pPr>
      <w:r>
        <w:t>CHEM-571</w:t>
      </w:r>
    </w:p>
    <w:p w:rsidR="00257E5E" w:rsidRDefault="00257E5E" w:rsidP="00257E5E">
      <w:pPr>
        <w:pStyle w:val="NoSpacing"/>
        <w:jc w:val="center"/>
      </w:pPr>
      <w:r>
        <w:t xml:space="preserve">Horseradish </w:t>
      </w:r>
      <w:proofErr w:type="spellStart"/>
      <w:r>
        <w:t>Peroxidase</w:t>
      </w:r>
      <w:proofErr w:type="spellEnd"/>
      <w:r>
        <w:t xml:space="preserve"> Assays</w:t>
      </w:r>
    </w:p>
    <w:p w:rsidR="00257E5E" w:rsidRDefault="00257E5E" w:rsidP="00257E5E">
      <w:pPr>
        <w:pStyle w:val="NoSpacing"/>
      </w:pPr>
      <w:r>
        <w:t>HRP-AAP Assay</w:t>
      </w:r>
    </w:p>
    <w:p w:rsidR="00EF349F" w:rsidRDefault="00EF349F" w:rsidP="00EF349F">
      <w:pPr>
        <w:pStyle w:val="NoSpacing"/>
      </w:pPr>
      <w:r>
        <w:tab/>
        <w:t xml:space="preserve">Horseradish </w:t>
      </w:r>
      <w:proofErr w:type="spellStart"/>
      <w:r>
        <w:t>peroxidase</w:t>
      </w:r>
      <w:proofErr w:type="spellEnd"/>
      <w:r>
        <w:t xml:space="preserve"> catalyzes the oxidation of </w:t>
      </w:r>
      <w:r w:rsidRPr="00EF349F">
        <w:t>4-aminoantipyrine</w:t>
      </w:r>
      <w:r>
        <w:t>, enhanced by the addition of 4-Iodophenol, by H</w:t>
      </w:r>
      <w:r>
        <w:rPr>
          <w:vertAlign w:val="subscript"/>
        </w:rPr>
        <w:t>2</w:t>
      </w:r>
      <w:r>
        <w:t>O</w:t>
      </w:r>
      <w:r>
        <w:rPr>
          <w:vertAlign w:val="subscript"/>
        </w:rPr>
        <w:t>2</w:t>
      </w:r>
      <w:r>
        <w:t xml:space="preserve">. The reaction was monitored in UV-visible spectrophotometer. A graph of absorbance vs. time of the solution color change was used to determine the activity rates of HRP. </w:t>
      </w:r>
    </w:p>
    <w:p w:rsidR="00EF349F" w:rsidRDefault="00EF349F" w:rsidP="00EF349F">
      <w:pPr>
        <w:pStyle w:val="NoSpacing"/>
      </w:pPr>
      <w:r>
        <w:tab/>
        <w:t xml:space="preserve">The protocol for HRP assay with </w:t>
      </w:r>
      <w:r w:rsidRPr="00EF349F">
        <w:t>4-aminoantipyrine</w:t>
      </w:r>
      <w:r>
        <w:t xml:space="preserve"> was found on </w:t>
      </w:r>
      <w:proofErr w:type="spellStart"/>
      <w:r>
        <w:t>Dropbox</w:t>
      </w:r>
      <w:proofErr w:type="spellEnd"/>
      <w:r>
        <w:t xml:space="preserve"> [2]. Deviations from the protocol are as follows:</w:t>
      </w:r>
      <w:r w:rsidRPr="00EF349F">
        <w:t xml:space="preserve"> </w:t>
      </w:r>
    </w:p>
    <w:p w:rsidR="00F02C69" w:rsidRDefault="00F02C69" w:rsidP="00F02C69">
      <w:pPr>
        <w:pStyle w:val="NoSpacing"/>
        <w:numPr>
          <w:ilvl w:val="0"/>
          <w:numId w:val="5"/>
        </w:numPr>
      </w:pPr>
      <w:r>
        <w:t xml:space="preserve">4-Iodophenol was also found to be immiscible in water, so it was dissolved in </w:t>
      </w:r>
      <w:r w:rsidRPr="00F02C69">
        <w:t>700μM DMSO</w:t>
      </w:r>
      <w:r>
        <w:t xml:space="preserve"> instead.  Note that the amount of DMSO in the reaction solution was dilute enough that it did not affect the reaction and absorbance peak.</w:t>
      </w:r>
    </w:p>
    <w:p w:rsidR="00F02C69" w:rsidRDefault="00F02C69" w:rsidP="00F02C69">
      <w:pPr>
        <w:pStyle w:val="NoSpacing"/>
        <w:ind w:firstLine="360"/>
      </w:pPr>
      <w:r>
        <w:t>The UV-</w:t>
      </w:r>
      <w:proofErr w:type="spellStart"/>
      <w:r>
        <w:t>vis</w:t>
      </w:r>
      <w:proofErr w:type="spellEnd"/>
      <w:r>
        <w:t xml:space="preserve"> was set to detect the absorbance at 510nm at 25</w:t>
      </w:r>
      <w:r>
        <w:sym w:font="Symbol" w:char="F0B0"/>
      </w:r>
      <w:r>
        <w:t xml:space="preserve">C over the course of 300 seconds. </w:t>
      </w:r>
      <w:r w:rsidR="00342324">
        <w:t>The interior of the spectrophotometer was set to a constant temperature of 25</w:t>
      </w:r>
      <w:r w:rsidR="00342324">
        <w:sym w:font="Symbol" w:char="F0B0"/>
      </w:r>
      <w:r w:rsidR="00342324">
        <w:t xml:space="preserve">C </w:t>
      </w:r>
      <w:r w:rsidR="00342324">
        <w:sym w:font="Symbol" w:char="F0B1"/>
      </w:r>
      <w:r w:rsidR="00342324">
        <w:t xml:space="preserve"> 0.1</w:t>
      </w:r>
      <w:r w:rsidR="00342324">
        <w:sym w:font="Symbol" w:char="F0B0"/>
      </w:r>
      <w:r w:rsidR="00342324">
        <w:t xml:space="preserve">C. </w:t>
      </w:r>
      <w:r>
        <w:t xml:space="preserve">These settings were not changed for the duration of the experiment. It was also determined that the optimal solution volume for absorbance measurements was slightly more than 1.5mL in a 3mL cuvette [Table A]. These volumes were not varied, unless indicated. </w:t>
      </w:r>
    </w:p>
    <w:p w:rsidR="00F02C69" w:rsidRDefault="00F02C69" w:rsidP="00F02C69">
      <w:pPr>
        <w:pStyle w:val="NoSpacing"/>
        <w:ind w:firstLine="360"/>
      </w:pPr>
      <w:r>
        <w:t xml:space="preserve"> </w:t>
      </w:r>
    </w:p>
    <w:p w:rsidR="00F02C69" w:rsidRDefault="00F02C69" w:rsidP="00F02C69">
      <w:pPr>
        <w:pStyle w:val="NoSpacing"/>
      </w:pPr>
      <w:r>
        <w:t>Table A: Volumes of Components of the Reaction Solution</w:t>
      </w:r>
    </w:p>
    <w:tbl>
      <w:tblPr>
        <w:tblStyle w:val="TableGrid"/>
        <w:tblW w:w="0" w:type="auto"/>
        <w:tblLook w:val="04A0"/>
      </w:tblPr>
      <w:tblGrid>
        <w:gridCol w:w="4788"/>
        <w:gridCol w:w="4788"/>
      </w:tblGrid>
      <w:tr w:rsidR="00F02C69">
        <w:tc>
          <w:tcPr>
            <w:tcW w:w="4788" w:type="dxa"/>
          </w:tcPr>
          <w:p w:rsidR="00F02C69" w:rsidRDefault="00F02C69" w:rsidP="00EA5810">
            <w:pPr>
              <w:pStyle w:val="NoSpacing"/>
            </w:pPr>
            <w:r>
              <w:t>Solution</w:t>
            </w:r>
          </w:p>
        </w:tc>
        <w:tc>
          <w:tcPr>
            <w:tcW w:w="4788" w:type="dxa"/>
          </w:tcPr>
          <w:p w:rsidR="00F02C69" w:rsidRDefault="00F02C69" w:rsidP="00EA5810">
            <w:pPr>
              <w:pStyle w:val="NoSpacing"/>
            </w:pPr>
            <w:r>
              <w:t>Volume [μL]</w:t>
            </w:r>
          </w:p>
        </w:tc>
      </w:tr>
      <w:tr w:rsidR="00F02C69">
        <w:tc>
          <w:tcPr>
            <w:tcW w:w="4788" w:type="dxa"/>
          </w:tcPr>
          <w:p w:rsidR="00F02C69" w:rsidRDefault="00F02C69" w:rsidP="00EA5810">
            <w:pPr>
              <w:pStyle w:val="NoSpacing"/>
            </w:pPr>
            <w:r>
              <w:t>4-Iodophenol</w:t>
            </w:r>
          </w:p>
        </w:tc>
        <w:tc>
          <w:tcPr>
            <w:tcW w:w="4788" w:type="dxa"/>
          </w:tcPr>
          <w:p w:rsidR="00F02C69" w:rsidRDefault="00F02C69" w:rsidP="00EA5810">
            <w:pPr>
              <w:pStyle w:val="NoSpacing"/>
            </w:pPr>
            <w:r>
              <w:t>10</w:t>
            </w:r>
          </w:p>
        </w:tc>
      </w:tr>
      <w:tr w:rsidR="00F02C69">
        <w:tc>
          <w:tcPr>
            <w:tcW w:w="4788" w:type="dxa"/>
          </w:tcPr>
          <w:p w:rsidR="00F02C69" w:rsidRDefault="00F02C69" w:rsidP="00EA5810">
            <w:pPr>
              <w:pStyle w:val="NoSpacing"/>
            </w:pPr>
            <w:r>
              <w:t>AAP</w:t>
            </w:r>
          </w:p>
        </w:tc>
        <w:tc>
          <w:tcPr>
            <w:tcW w:w="4788" w:type="dxa"/>
          </w:tcPr>
          <w:p w:rsidR="00F02C69" w:rsidRDefault="00F02C69" w:rsidP="00EA5810">
            <w:pPr>
              <w:pStyle w:val="NoSpacing"/>
            </w:pPr>
            <w:r>
              <w:t>700</w:t>
            </w:r>
          </w:p>
        </w:tc>
      </w:tr>
      <w:tr w:rsidR="00F02C69">
        <w:tc>
          <w:tcPr>
            <w:tcW w:w="4788" w:type="dxa"/>
          </w:tcPr>
          <w:p w:rsidR="00F02C69" w:rsidRPr="00C32761" w:rsidRDefault="00F02C69" w:rsidP="00EA5810">
            <w:pPr>
              <w:pStyle w:val="NoSpacing"/>
              <w:rPr>
                <w:vertAlign w:val="subscript"/>
              </w:rPr>
            </w:pPr>
            <w:r>
              <w:t>H</w:t>
            </w:r>
            <w:r>
              <w:rPr>
                <w:vertAlign w:val="subscript"/>
              </w:rPr>
              <w:t>2</w:t>
            </w:r>
            <w:r>
              <w:t>O</w:t>
            </w:r>
            <w:r>
              <w:rPr>
                <w:vertAlign w:val="subscript"/>
              </w:rPr>
              <w:t>2</w:t>
            </w:r>
          </w:p>
        </w:tc>
        <w:tc>
          <w:tcPr>
            <w:tcW w:w="4788" w:type="dxa"/>
          </w:tcPr>
          <w:p w:rsidR="00F02C69" w:rsidRDefault="00F02C69" w:rsidP="00EA5810">
            <w:pPr>
              <w:pStyle w:val="NoSpacing"/>
            </w:pPr>
            <w:r>
              <w:t>750</w:t>
            </w:r>
          </w:p>
        </w:tc>
      </w:tr>
      <w:tr w:rsidR="00F02C69">
        <w:tc>
          <w:tcPr>
            <w:tcW w:w="4788" w:type="dxa"/>
          </w:tcPr>
          <w:p w:rsidR="00F02C69" w:rsidRDefault="00F02C69" w:rsidP="00EA5810">
            <w:pPr>
              <w:pStyle w:val="NoSpacing"/>
            </w:pPr>
            <w:r>
              <w:t>HRP</w:t>
            </w:r>
          </w:p>
        </w:tc>
        <w:tc>
          <w:tcPr>
            <w:tcW w:w="4788" w:type="dxa"/>
          </w:tcPr>
          <w:p w:rsidR="00F02C69" w:rsidRDefault="00F02C69" w:rsidP="00EA5810">
            <w:pPr>
              <w:pStyle w:val="NoSpacing"/>
            </w:pPr>
            <w:r>
              <w:t>50</w:t>
            </w:r>
          </w:p>
        </w:tc>
      </w:tr>
    </w:tbl>
    <w:p w:rsidR="00F02C69" w:rsidRDefault="00F02C69" w:rsidP="00F02C69">
      <w:pPr>
        <w:pStyle w:val="NoSpacing"/>
      </w:pPr>
      <w:r>
        <w:t xml:space="preserve"> </w:t>
      </w:r>
    </w:p>
    <w:p w:rsidR="00475AB8" w:rsidRDefault="00F02C69" w:rsidP="00F02C69">
      <w:pPr>
        <w:pStyle w:val="NoSpacing"/>
      </w:pPr>
      <w:r>
        <w:t xml:space="preserve">The concentrations of the 4-Iodophenol and HRP remained consistent throughout the trials (18mM and 2.3uM, respectively). </w:t>
      </w:r>
      <w:r w:rsidR="00475AB8">
        <w:t>The concentrations of AAP and H</w:t>
      </w:r>
      <w:r w:rsidR="00475AB8">
        <w:rPr>
          <w:vertAlign w:val="subscript"/>
        </w:rPr>
        <w:t>2</w:t>
      </w:r>
      <w:r w:rsidR="00475AB8">
        <w:t>O</w:t>
      </w:r>
      <w:r w:rsidR="00475AB8">
        <w:rPr>
          <w:vertAlign w:val="subscript"/>
        </w:rPr>
        <w:t>2</w:t>
      </w:r>
      <w:r w:rsidR="00475AB8">
        <w:t xml:space="preserve"> varied [Table B]. Note that the </w:t>
      </w:r>
      <w:r w:rsidR="00342324">
        <w:t xml:space="preserve">HRP was added to each cuvette at the last moment. </w:t>
      </w:r>
    </w:p>
    <w:p w:rsidR="00475AB8" w:rsidRDefault="00475AB8" w:rsidP="00F02C69">
      <w:pPr>
        <w:pStyle w:val="NoSpacing"/>
      </w:pPr>
    </w:p>
    <w:p w:rsidR="00475AB8" w:rsidRDefault="00475AB8" w:rsidP="00F02C69">
      <w:pPr>
        <w:pStyle w:val="NoSpacing"/>
      </w:pPr>
      <w:r>
        <w:t>Table B: Concentrations of Reactants in Solution</w:t>
      </w:r>
    </w:p>
    <w:tbl>
      <w:tblPr>
        <w:tblStyle w:val="TableGrid"/>
        <w:tblW w:w="0" w:type="auto"/>
        <w:tblLook w:val="00BF"/>
      </w:tblPr>
      <w:tblGrid>
        <w:gridCol w:w="1915"/>
        <w:gridCol w:w="1915"/>
        <w:gridCol w:w="1915"/>
        <w:gridCol w:w="1915"/>
        <w:gridCol w:w="1916"/>
      </w:tblGrid>
      <w:tr w:rsidR="00475AB8">
        <w:tc>
          <w:tcPr>
            <w:tcW w:w="1915" w:type="dxa"/>
          </w:tcPr>
          <w:p w:rsidR="00475AB8" w:rsidRDefault="00475AB8" w:rsidP="00F02C69">
            <w:pPr>
              <w:pStyle w:val="NoSpacing"/>
            </w:pPr>
            <w:r>
              <w:t>Trial</w:t>
            </w:r>
          </w:p>
        </w:tc>
        <w:tc>
          <w:tcPr>
            <w:tcW w:w="1915" w:type="dxa"/>
          </w:tcPr>
          <w:p w:rsidR="00475AB8" w:rsidRDefault="00475AB8" w:rsidP="00F02C69">
            <w:pPr>
              <w:pStyle w:val="NoSpacing"/>
            </w:pPr>
            <w:r>
              <w:t>[Phenol]</w:t>
            </w:r>
          </w:p>
        </w:tc>
        <w:tc>
          <w:tcPr>
            <w:tcW w:w="1915" w:type="dxa"/>
          </w:tcPr>
          <w:p w:rsidR="00475AB8" w:rsidRDefault="00475AB8" w:rsidP="00F02C69">
            <w:pPr>
              <w:pStyle w:val="NoSpacing"/>
            </w:pPr>
            <w:r>
              <w:t>[AAP]</w:t>
            </w:r>
          </w:p>
        </w:tc>
        <w:tc>
          <w:tcPr>
            <w:tcW w:w="1915" w:type="dxa"/>
          </w:tcPr>
          <w:p w:rsidR="00475AB8" w:rsidRPr="00475AB8" w:rsidRDefault="00475AB8" w:rsidP="00F02C69">
            <w:pPr>
              <w:pStyle w:val="NoSpacing"/>
            </w:pPr>
            <w:r>
              <w:t>[H</w:t>
            </w:r>
            <w:r>
              <w:rPr>
                <w:vertAlign w:val="subscript"/>
              </w:rPr>
              <w:t>2</w:t>
            </w:r>
            <w:r>
              <w:t>O</w:t>
            </w:r>
            <w:r>
              <w:rPr>
                <w:vertAlign w:val="subscript"/>
              </w:rPr>
              <w:t>2</w:t>
            </w:r>
            <w:r>
              <w:t>]</w:t>
            </w:r>
          </w:p>
        </w:tc>
        <w:tc>
          <w:tcPr>
            <w:tcW w:w="1916" w:type="dxa"/>
          </w:tcPr>
          <w:p w:rsidR="00475AB8" w:rsidRDefault="00475AB8" w:rsidP="00F02C69">
            <w:pPr>
              <w:pStyle w:val="NoSpacing"/>
            </w:pPr>
            <w:r>
              <w:t>[HRP]</w:t>
            </w:r>
          </w:p>
        </w:tc>
      </w:tr>
      <w:tr w:rsidR="00475AB8">
        <w:tc>
          <w:tcPr>
            <w:tcW w:w="1915" w:type="dxa"/>
          </w:tcPr>
          <w:p w:rsidR="00475AB8" w:rsidRDefault="00475AB8" w:rsidP="00F02C69">
            <w:pPr>
              <w:pStyle w:val="NoSpacing"/>
            </w:pPr>
            <w:r>
              <w:t>1</w:t>
            </w:r>
          </w:p>
        </w:tc>
        <w:tc>
          <w:tcPr>
            <w:tcW w:w="1915" w:type="dxa"/>
          </w:tcPr>
          <w:p w:rsidR="00475AB8" w:rsidRDefault="00475AB8" w:rsidP="00F02C69">
            <w:pPr>
              <w:pStyle w:val="NoSpacing"/>
            </w:pPr>
            <w:r>
              <w:t>18mM</w:t>
            </w:r>
          </w:p>
        </w:tc>
        <w:tc>
          <w:tcPr>
            <w:tcW w:w="1915" w:type="dxa"/>
          </w:tcPr>
          <w:p w:rsidR="00475AB8" w:rsidRDefault="00475AB8" w:rsidP="00F02C69">
            <w:pPr>
              <w:pStyle w:val="NoSpacing"/>
            </w:pPr>
            <w:r>
              <w:t>2.5mM</w:t>
            </w:r>
          </w:p>
        </w:tc>
        <w:tc>
          <w:tcPr>
            <w:tcW w:w="1915" w:type="dxa"/>
          </w:tcPr>
          <w:p w:rsidR="00475AB8" w:rsidRDefault="00475AB8" w:rsidP="00F02C69">
            <w:pPr>
              <w:pStyle w:val="NoSpacing"/>
            </w:pPr>
            <w:r>
              <w:t>1.7mM</w:t>
            </w:r>
          </w:p>
        </w:tc>
        <w:tc>
          <w:tcPr>
            <w:tcW w:w="1916" w:type="dxa"/>
          </w:tcPr>
          <w:p w:rsidR="00475AB8" w:rsidRDefault="00475AB8" w:rsidP="00F02C69">
            <w:pPr>
              <w:pStyle w:val="NoSpacing"/>
            </w:pPr>
            <w:r>
              <w:t>2.3uM</w:t>
            </w:r>
          </w:p>
        </w:tc>
      </w:tr>
      <w:tr w:rsidR="00475AB8">
        <w:tc>
          <w:tcPr>
            <w:tcW w:w="1915" w:type="dxa"/>
          </w:tcPr>
          <w:p w:rsidR="00475AB8" w:rsidRDefault="00475AB8" w:rsidP="00F02C69">
            <w:pPr>
              <w:pStyle w:val="NoSpacing"/>
            </w:pPr>
            <w:r>
              <w:t>2</w:t>
            </w:r>
          </w:p>
        </w:tc>
        <w:tc>
          <w:tcPr>
            <w:tcW w:w="1915" w:type="dxa"/>
          </w:tcPr>
          <w:p w:rsidR="00475AB8" w:rsidRDefault="00475AB8" w:rsidP="00F02C69">
            <w:pPr>
              <w:pStyle w:val="NoSpacing"/>
            </w:pPr>
            <w:r>
              <w:t>18mM</w:t>
            </w:r>
          </w:p>
        </w:tc>
        <w:tc>
          <w:tcPr>
            <w:tcW w:w="1915" w:type="dxa"/>
          </w:tcPr>
          <w:p w:rsidR="00475AB8" w:rsidRDefault="00475AB8" w:rsidP="00F02C69">
            <w:pPr>
              <w:pStyle w:val="NoSpacing"/>
            </w:pPr>
            <w:r>
              <w:t>2.5mM</w:t>
            </w:r>
          </w:p>
        </w:tc>
        <w:tc>
          <w:tcPr>
            <w:tcW w:w="1915" w:type="dxa"/>
          </w:tcPr>
          <w:p w:rsidR="00475AB8" w:rsidRDefault="00475AB8" w:rsidP="00F02C69">
            <w:pPr>
              <w:pStyle w:val="NoSpacing"/>
            </w:pPr>
            <w:r>
              <w:t>850uM</w:t>
            </w:r>
          </w:p>
        </w:tc>
        <w:tc>
          <w:tcPr>
            <w:tcW w:w="1916" w:type="dxa"/>
          </w:tcPr>
          <w:p w:rsidR="00475AB8" w:rsidRDefault="00475AB8" w:rsidP="00F02C69">
            <w:pPr>
              <w:pStyle w:val="NoSpacing"/>
            </w:pPr>
            <w:r>
              <w:t>2.3uM</w:t>
            </w:r>
          </w:p>
        </w:tc>
      </w:tr>
      <w:tr w:rsidR="00475AB8">
        <w:tc>
          <w:tcPr>
            <w:tcW w:w="1915" w:type="dxa"/>
          </w:tcPr>
          <w:p w:rsidR="00475AB8" w:rsidRDefault="00475AB8" w:rsidP="00F02C69">
            <w:pPr>
              <w:pStyle w:val="NoSpacing"/>
            </w:pPr>
            <w:r>
              <w:t>3</w:t>
            </w:r>
          </w:p>
        </w:tc>
        <w:tc>
          <w:tcPr>
            <w:tcW w:w="1915" w:type="dxa"/>
          </w:tcPr>
          <w:p w:rsidR="00475AB8" w:rsidRDefault="00475AB8" w:rsidP="00F02C69">
            <w:pPr>
              <w:pStyle w:val="NoSpacing"/>
            </w:pPr>
            <w:r>
              <w:t>18mM</w:t>
            </w:r>
          </w:p>
        </w:tc>
        <w:tc>
          <w:tcPr>
            <w:tcW w:w="1915" w:type="dxa"/>
          </w:tcPr>
          <w:p w:rsidR="00475AB8" w:rsidRDefault="00475AB8" w:rsidP="00F02C69">
            <w:pPr>
              <w:pStyle w:val="NoSpacing"/>
            </w:pPr>
            <w:r>
              <w:t>2.5mM</w:t>
            </w:r>
          </w:p>
        </w:tc>
        <w:tc>
          <w:tcPr>
            <w:tcW w:w="1915" w:type="dxa"/>
          </w:tcPr>
          <w:p w:rsidR="00475AB8" w:rsidRDefault="00475AB8" w:rsidP="00F02C69">
            <w:pPr>
              <w:pStyle w:val="NoSpacing"/>
            </w:pPr>
            <w:r>
              <w:t>425uM</w:t>
            </w:r>
          </w:p>
        </w:tc>
        <w:tc>
          <w:tcPr>
            <w:tcW w:w="1916" w:type="dxa"/>
          </w:tcPr>
          <w:p w:rsidR="00475AB8" w:rsidRDefault="00475AB8" w:rsidP="00F02C69">
            <w:pPr>
              <w:pStyle w:val="NoSpacing"/>
            </w:pPr>
            <w:r>
              <w:t>2.3uM</w:t>
            </w:r>
          </w:p>
        </w:tc>
      </w:tr>
      <w:tr w:rsidR="00475AB8">
        <w:tc>
          <w:tcPr>
            <w:tcW w:w="1915" w:type="dxa"/>
          </w:tcPr>
          <w:p w:rsidR="00475AB8" w:rsidRDefault="00475AB8" w:rsidP="00F02C69">
            <w:pPr>
              <w:pStyle w:val="NoSpacing"/>
            </w:pPr>
            <w:r>
              <w:t>4</w:t>
            </w:r>
          </w:p>
        </w:tc>
        <w:tc>
          <w:tcPr>
            <w:tcW w:w="1915" w:type="dxa"/>
          </w:tcPr>
          <w:p w:rsidR="00475AB8" w:rsidRDefault="00475AB8" w:rsidP="00F02C69">
            <w:pPr>
              <w:pStyle w:val="NoSpacing"/>
            </w:pPr>
            <w:r>
              <w:t>18mM</w:t>
            </w:r>
          </w:p>
        </w:tc>
        <w:tc>
          <w:tcPr>
            <w:tcW w:w="1915" w:type="dxa"/>
          </w:tcPr>
          <w:p w:rsidR="00475AB8" w:rsidRDefault="00475AB8" w:rsidP="00F02C69">
            <w:pPr>
              <w:pStyle w:val="NoSpacing"/>
            </w:pPr>
            <w:r>
              <w:t>2.5mM</w:t>
            </w:r>
          </w:p>
        </w:tc>
        <w:tc>
          <w:tcPr>
            <w:tcW w:w="1915" w:type="dxa"/>
          </w:tcPr>
          <w:p w:rsidR="00475AB8" w:rsidRDefault="00475AB8" w:rsidP="00F02C69">
            <w:pPr>
              <w:pStyle w:val="NoSpacing"/>
            </w:pPr>
            <w:r>
              <w:t>212.5uM</w:t>
            </w:r>
          </w:p>
        </w:tc>
        <w:tc>
          <w:tcPr>
            <w:tcW w:w="1916" w:type="dxa"/>
          </w:tcPr>
          <w:p w:rsidR="00475AB8" w:rsidRDefault="00475AB8" w:rsidP="00F02C69">
            <w:pPr>
              <w:pStyle w:val="NoSpacing"/>
            </w:pPr>
            <w:r>
              <w:t>2.3uM</w:t>
            </w:r>
          </w:p>
        </w:tc>
      </w:tr>
      <w:tr w:rsidR="00475AB8">
        <w:tc>
          <w:tcPr>
            <w:tcW w:w="1915" w:type="dxa"/>
          </w:tcPr>
          <w:p w:rsidR="00475AB8" w:rsidRDefault="00475AB8" w:rsidP="00F02C69">
            <w:pPr>
              <w:pStyle w:val="NoSpacing"/>
            </w:pPr>
            <w:r>
              <w:t>5</w:t>
            </w:r>
          </w:p>
        </w:tc>
        <w:tc>
          <w:tcPr>
            <w:tcW w:w="1915" w:type="dxa"/>
          </w:tcPr>
          <w:p w:rsidR="00475AB8" w:rsidRDefault="00475AB8" w:rsidP="00F02C69">
            <w:pPr>
              <w:pStyle w:val="NoSpacing"/>
            </w:pPr>
            <w:r>
              <w:t>18mM</w:t>
            </w:r>
          </w:p>
        </w:tc>
        <w:tc>
          <w:tcPr>
            <w:tcW w:w="1915" w:type="dxa"/>
          </w:tcPr>
          <w:p w:rsidR="00475AB8" w:rsidRDefault="00475AB8" w:rsidP="00F02C69">
            <w:pPr>
              <w:pStyle w:val="NoSpacing"/>
            </w:pPr>
            <w:r>
              <w:t>2.5mM</w:t>
            </w:r>
          </w:p>
        </w:tc>
        <w:tc>
          <w:tcPr>
            <w:tcW w:w="1915" w:type="dxa"/>
          </w:tcPr>
          <w:p w:rsidR="00475AB8" w:rsidRDefault="00475AB8" w:rsidP="00F02C69">
            <w:pPr>
              <w:pStyle w:val="NoSpacing"/>
            </w:pPr>
            <w:r>
              <w:t>106.25uM</w:t>
            </w:r>
          </w:p>
        </w:tc>
        <w:tc>
          <w:tcPr>
            <w:tcW w:w="1916" w:type="dxa"/>
          </w:tcPr>
          <w:p w:rsidR="00475AB8" w:rsidRDefault="00475AB8" w:rsidP="00F02C69">
            <w:pPr>
              <w:pStyle w:val="NoSpacing"/>
            </w:pPr>
            <w:r>
              <w:t>2.3uM</w:t>
            </w:r>
          </w:p>
        </w:tc>
      </w:tr>
      <w:tr w:rsidR="00475AB8">
        <w:tc>
          <w:tcPr>
            <w:tcW w:w="1915" w:type="dxa"/>
          </w:tcPr>
          <w:p w:rsidR="00475AB8" w:rsidRDefault="00475AB8" w:rsidP="00F02C69">
            <w:pPr>
              <w:pStyle w:val="NoSpacing"/>
            </w:pPr>
            <w:r>
              <w:t>6</w:t>
            </w:r>
          </w:p>
        </w:tc>
        <w:tc>
          <w:tcPr>
            <w:tcW w:w="1915" w:type="dxa"/>
          </w:tcPr>
          <w:p w:rsidR="00475AB8" w:rsidRDefault="00475AB8" w:rsidP="00F02C69">
            <w:pPr>
              <w:pStyle w:val="NoSpacing"/>
            </w:pPr>
            <w:r>
              <w:t>18mM</w:t>
            </w:r>
          </w:p>
        </w:tc>
        <w:tc>
          <w:tcPr>
            <w:tcW w:w="1915" w:type="dxa"/>
          </w:tcPr>
          <w:p w:rsidR="00475AB8" w:rsidRDefault="00475AB8" w:rsidP="00F02C69">
            <w:pPr>
              <w:pStyle w:val="NoSpacing"/>
            </w:pPr>
            <w:r>
              <w:t>2.5mM</w:t>
            </w:r>
          </w:p>
        </w:tc>
        <w:tc>
          <w:tcPr>
            <w:tcW w:w="1915" w:type="dxa"/>
          </w:tcPr>
          <w:p w:rsidR="00475AB8" w:rsidRDefault="00475AB8" w:rsidP="00F02C69">
            <w:pPr>
              <w:pStyle w:val="NoSpacing"/>
            </w:pPr>
            <w:r>
              <w:t>1.7mM</w:t>
            </w:r>
          </w:p>
        </w:tc>
        <w:tc>
          <w:tcPr>
            <w:tcW w:w="1916" w:type="dxa"/>
          </w:tcPr>
          <w:p w:rsidR="00475AB8" w:rsidRDefault="00475AB8" w:rsidP="00F02C69">
            <w:pPr>
              <w:pStyle w:val="NoSpacing"/>
            </w:pPr>
            <w:r>
              <w:t>2.3uM</w:t>
            </w:r>
          </w:p>
        </w:tc>
      </w:tr>
      <w:tr w:rsidR="00475AB8">
        <w:tc>
          <w:tcPr>
            <w:tcW w:w="1915" w:type="dxa"/>
          </w:tcPr>
          <w:p w:rsidR="00475AB8" w:rsidRDefault="00475AB8" w:rsidP="00F02C69">
            <w:pPr>
              <w:pStyle w:val="NoSpacing"/>
            </w:pPr>
            <w:r>
              <w:t>7</w:t>
            </w:r>
          </w:p>
        </w:tc>
        <w:tc>
          <w:tcPr>
            <w:tcW w:w="1915" w:type="dxa"/>
          </w:tcPr>
          <w:p w:rsidR="00475AB8" w:rsidRDefault="00475AB8" w:rsidP="00F02C69">
            <w:pPr>
              <w:pStyle w:val="NoSpacing"/>
            </w:pPr>
            <w:r>
              <w:t>18mM</w:t>
            </w:r>
          </w:p>
        </w:tc>
        <w:tc>
          <w:tcPr>
            <w:tcW w:w="1915" w:type="dxa"/>
          </w:tcPr>
          <w:p w:rsidR="00475AB8" w:rsidRDefault="00475AB8" w:rsidP="00F02C69">
            <w:pPr>
              <w:pStyle w:val="NoSpacing"/>
            </w:pPr>
            <w:r>
              <w:t>1.25mM</w:t>
            </w:r>
          </w:p>
        </w:tc>
        <w:tc>
          <w:tcPr>
            <w:tcW w:w="1915" w:type="dxa"/>
          </w:tcPr>
          <w:p w:rsidR="00475AB8" w:rsidRDefault="00475AB8" w:rsidP="00F02C69">
            <w:pPr>
              <w:pStyle w:val="NoSpacing"/>
            </w:pPr>
            <w:r>
              <w:t>1.7mM</w:t>
            </w:r>
          </w:p>
        </w:tc>
        <w:tc>
          <w:tcPr>
            <w:tcW w:w="1916" w:type="dxa"/>
          </w:tcPr>
          <w:p w:rsidR="00475AB8" w:rsidRDefault="00475AB8" w:rsidP="00F02C69">
            <w:pPr>
              <w:pStyle w:val="NoSpacing"/>
            </w:pPr>
            <w:r>
              <w:t>2.3uM</w:t>
            </w:r>
          </w:p>
        </w:tc>
      </w:tr>
      <w:tr w:rsidR="00475AB8">
        <w:tc>
          <w:tcPr>
            <w:tcW w:w="1915" w:type="dxa"/>
          </w:tcPr>
          <w:p w:rsidR="00475AB8" w:rsidRDefault="00475AB8" w:rsidP="00F02C69">
            <w:pPr>
              <w:pStyle w:val="NoSpacing"/>
            </w:pPr>
            <w:r>
              <w:t>8</w:t>
            </w:r>
          </w:p>
        </w:tc>
        <w:tc>
          <w:tcPr>
            <w:tcW w:w="1915" w:type="dxa"/>
          </w:tcPr>
          <w:p w:rsidR="00475AB8" w:rsidRDefault="00475AB8" w:rsidP="00F02C69">
            <w:pPr>
              <w:pStyle w:val="NoSpacing"/>
            </w:pPr>
            <w:r>
              <w:t>18mM</w:t>
            </w:r>
          </w:p>
        </w:tc>
        <w:tc>
          <w:tcPr>
            <w:tcW w:w="1915" w:type="dxa"/>
          </w:tcPr>
          <w:p w:rsidR="00475AB8" w:rsidRDefault="00475AB8" w:rsidP="00F02C69">
            <w:pPr>
              <w:pStyle w:val="NoSpacing"/>
            </w:pPr>
            <w:r>
              <w:t>635uM</w:t>
            </w:r>
          </w:p>
        </w:tc>
        <w:tc>
          <w:tcPr>
            <w:tcW w:w="1915" w:type="dxa"/>
          </w:tcPr>
          <w:p w:rsidR="00475AB8" w:rsidRDefault="00475AB8" w:rsidP="00F02C69">
            <w:pPr>
              <w:pStyle w:val="NoSpacing"/>
            </w:pPr>
            <w:r>
              <w:t>1.7mM</w:t>
            </w:r>
          </w:p>
        </w:tc>
        <w:tc>
          <w:tcPr>
            <w:tcW w:w="1916" w:type="dxa"/>
          </w:tcPr>
          <w:p w:rsidR="00475AB8" w:rsidRDefault="00475AB8" w:rsidP="00F02C69">
            <w:pPr>
              <w:pStyle w:val="NoSpacing"/>
            </w:pPr>
            <w:r>
              <w:t>2.3uM</w:t>
            </w:r>
          </w:p>
        </w:tc>
      </w:tr>
      <w:tr w:rsidR="00475AB8">
        <w:tc>
          <w:tcPr>
            <w:tcW w:w="1915" w:type="dxa"/>
          </w:tcPr>
          <w:p w:rsidR="00475AB8" w:rsidRDefault="00475AB8" w:rsidP="00F02C69">
            <w:pPr>
              <w:pStyle w:val="NoSpacing"/>
            </w:pPr>
            <w:r>
              <w:t>9</w:t>
            </w:r>
          </w:p>
        </w:tc>
        <w:tc>
          <w:tcPr>
            <w:tcW w:w="1915" w:type="dxa"/>
          </w:tcPr>
          <w:p w:rsidR="00475AB8" w:rsidRDefault="00475AB8" w:rsidP="00F02C69">
            <w:pPr>
              <w:pStyle w:val="NoSpacing"/>
            </w:pPr>
            <w:r>
              <w:t>18mM</w:t>
            </w:r>
          </w:p>
        </w:tc>
        <w:tc>
          <w:tcPr>
            <w:tcW w:w="1915" w:type="dxa"/>
          </w:tcPr>
          <w:p w:rsidR="00475AB8" w:rsidRDefault="00475AB8" w:rsidP="00F02C69">
            <w:pPr>
              <w:pStyle w:val="NoSpacing"/>
            </w:pPr>
            <w:r>
              <w:t>312.5uM</w:t>
            </w:r>
          </w:p>
        </w:tc>
        <w:tc>
          <w:tcPr>
            <w:tcW w:w="1915" w:type="dxa"/>
          </w:tcPr>
          <w:p w:rsidR="00475AB8" w:rsidRDefault="00475AB8" w:rsidP="00F02C69">
            <w:pPr>
              <w:pStyle w:val="NoSpacing"/>
            </w:pPr>
            <w:r>
              <w:t>1.7mM</w:t>
            </w:r>
          </w:p>
        </w:tc>
        <w:tc>
          <w:tcPr>
            <w:tcW w:w="1916" w:type="dxa"/>
          </w:tcPr>
          <w:p w:rsidR="00475AB8" w:rsidRDefault="00475AB8" w:rsidP="00F02C69">
            <w:pPr>
              <w:pStyle w:val="NoSpacing"/>
            </w:pPr>
            <w:r>
              <w:t>2.3uM</w:t>
            </w:r>
          </w:p>
        </w:tc>
      </w:tr>
      <w:tr w:rsidR="00475AB8">
        <w:tc>
          <w:tcPr>
            <w:tcW w:w="1915" w:type="dxa"/>
          </w:tcPr>
          <w:p w:rsidR="00475AB8" w:rsidRDefault="00475AB8" w:rsidP="00F02C69">
            <w:pPr>
              <w:pStyle w:val="NoSpacing"/>
            </w:pPr>
            <w:r>
              <w:t>10</w:t>
            </w:r>
          </w:p>
        </w:tc>
        <w:tc>
          <w:tcPr>
            <w:tcW w:w="1915" w:type="dxa"/>
          </w:tcPr>
          <w:p w:rsidR="00475AB8" w:rsidRDefault="00475AB8" w:rsidP="00F02C69">
            <w:pPr>
              <w:pStyle w:val="NoSpacing"/>
            </w:pPr>
            <w:r>
              <w:t>18mM</w:t>
            </w:r>
          </w:p>
        </w:tc>
        <w:tc>
          <w:tcPr>
            <w:tcW w:w="1915" w:type="dxa"/>
          </w:tcPr>
          <w:p w:rsidR="00475AB8" w:rsidRDefault="00475AB8" w:rsidP="00F02C69">
            <w:pPr>
              <w:pStyle w:val="NoSpacing"/>
            </w:pPr>
            <w:r>
              <w:t>156.25uM</w:t>
            </w:r>
          </w:p>
        </w:tc>
        <w:tc>
          <w:tcPr>
            <w:tcW w:w="1915" w:type="dxa"/>
          </w:tcPr>
          <w:p w:rsidR="00475AB8" w:rsidRDefault="00475AB8" w:rsidP="00F02C69">
            <w:pPr>
              <w:pStyle w:val="NoSpacing"/>
            </w:pPr>
            <w:r>
              <w:t>1.7mM</w:t>
            </w:r>
          </w:p>
        </w:tc>
        <w:tc>
          <w:tcPr>
            <w:tcW w:w="1916" w:type="dxa"/>
          </w:tcPr>
          <w:p w:rsidR="00475AB8" w:rsidRDefault="00475AB8" w:rsidP="00F02C69">
            <w:pPr>
              <w:pStyle w:val="NoSpacing"/>
            </w:pPr>
            <w:r>
              <w:t>2.3uM</w:t>
            </w:r>
          </w:p>
        </w:tc>
      </w:tr>
    </w:tbl>
    <w:p w:rsidR="00F02C69" w:rsidRPr="00475AB8" w:rsidRDefault="00F02C69" w:rsidP="00F02C69">
      <w:pPr>
        <w:pStyle w:val="NoSpacing"/>
      </w:pPr>
    </w:p>
    <w:p w:rsidR="00475AB8" w:rsidRDefault="00475AB8" w:rsidP="00F02C69">
      <w:pPr>
        <w:pStyle w:val="NoSpacing"/>
      </w:pPr>
      <w:r>
        <w:t>The final concentrations in the total volume of 1.5mL for H</w:t>
      </w:r>
      <w:r>
        <w:rPr>
          <w:vertAlign w:val="subscript"/>
        </w:rPr>
        <w:t>2</w:t>
      </w:r>
      <w:r>
        <w:t>O</w:t>
      </w:r>
      <w:r>
        <w:rPr>
          <w:vertAlign w:val="subscript"/>
        </w:rPr>
        <w:t>2</w:t>
      </w:r>
      <w:r>
        <w:t xml:space="preserve">, AAP, and phenol were 0.000017M, 0.001167M, and 0.00012 M, respectively. </w:t>
      </w:r>
    </w:p>
    <w:p w:rsidR="00475AB8" w:rsidRDefault="00475AB8" w:rsidP="00475AB8">
      <w:pPr>
        <w:pStyle w:val="NoSpacing"/>
      </w:pPr>
    </w:p>
    <w:p w:rsidR="00475AB8" w:rsidRDefault="00475AB8">
      <w:r>
        <w:t>Two graphs were made: one showing the results of fixed [AAP] and varied [H</w:t>
      </w:r>
      <w:r>
        <w:rPr>
          <w:vertAlign w:val="subscript"/>
        </w:rPr>
        <w:t>2</w:t>
      </w:r>
      <w:r>
        <w:t>O</w:t>
      </w:r>
      <w:r>
        <w:rPr>
          <w:vertAlign w:val="subscript"/>
        </w:rPr>
        <w:t>2</w:t>
      </w:r>
      <w:r>
        <w:t>] [Figure A] and one showing the results of fixed [H</w:t>
      </w:r>
      <w:r>
        <w:rPr>
          <w:vertAlign w:val="subscript"/>
        </w:rPr>
        <w:t>2</w:t>
      </w:r>
      <w:r>
        <w:t>O</w:t>
      </w:r>
      <w:r>
        <w:rPr>
          <w:vertAlign w:val="subscript"/>
        </w:rPr>
        <w:t>2</w:t>
      </w:r>
      <w:r>
        <w:t>] and varied [AAP] [Figure B].</w:t>
      </w:r>
      <w:r w:rsidR="00342324">
        <w:t xml:space="preserve"> Note that the absorbance of only the buffer was included in both graphs to demonstrate that it does not absorb at 510nm and did not affect the absorbance of the other components of the analyzed solutions. </w:t>
      </w:r>
    </w:p>
    <w:p w:rsidR="00475AB8" w:rsidRDefault="00475AB8">
      <w:r>
        <w:t xml:space="preserve"> </w:t>
      </w:r>
      <w:r>
        <w:rPr>
          <w:noProof/>
        </w:rPr>
        <w:drawing>
          <wp:inline distT="0" distB="0" distL="0" distR="0">
            <wp:extent cx="5943600" cy="4457700"/>
            <wp:effectExtent l="25400" t="0" r="0" b="0"/>
            <wp:docPr id="1" name="Picture 1" descr=":::::Desktop:Fixed_AAP_Varied_H2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Fixed_AAP_Varied_H2O2.png"/>
                    <pic:cNvPicPr>
                      <a:picLocks noChangeAspect="1" noChangeArrowheads="1"/>
                    </pic:cNvPicPr>
                  </pic:nvPicPr>
                  <pic:blipFill>
                    <a:blip r:embed="rId5"/>
                    <a:srcRect/>
                    <a:stretch>
                      <a:fillRect/>
                    </a:stretch>
                  </pic:blipFill>
                  <pic:spPr bwMode="auto">
                    <a:xfrm>
                      <a:off x="0" y="0"/>
                      <a:ext cx="5943600" cy="4457700"/>
                    </a:xfrm>
                    <a:prstGeom prst="rect">
                      <a:avLst/>
                    </a:prstGeom>
                    <a:noFill/>
                    <a:ln w="9525">
                      <a:noFill/>
                      <a:miter lim="800000"/>
                      <a:headEnd/>
                      <a:tailEnd/>
                    </a:ln>
                  </pic:spPr>
                </pic:pic>
              </a:graphicData>
            </a:graphic>
          </wp:inline>
        </w:drawing>
      </w:r>
    </w:p>
    <w:p w:rsidR="00342324" w:rsidRPr="00342324" w:rsidRDefault="00475AB8" w:rsidP="00342324">
      <w:r>
        <w:t xml:space="preserve">Figure A. </w:t>
      </w:r>
      <w:r w:rsidR="00342324">
        <w:t>Absorbance over time of enzymatic activity of HRP in fixed [AAP] and varied [H</w:t>
      </w:r>
      <w:r w:rsidR="00342324">
        <w:rPr>
          <w:vertAlign w:val="subscript"/>
        </w:rPr>
        <w:t>2</w:t>
      </w:r>
      <w:r w:rsidR="00342324">
        <w:t>O</w:t>
      </w:r>
      <w:r w:rsidR="00342324">
        <w:rPr>
          <w:vertAlign w:val="subscript"/>
        </w:rPr>
        <w:t>2</w:t>
      </w:r>
      <w:r w:rsidR="00342324">
        <w:t xml:space="preserve">] at 510nm. </w:t>
      </w:r>
      <w:r w:rsidR="00342324" w:rsidRPr="00342324">
        <w:t xml:space="preserve">The concentration of HRP in all solutions was 2.3 μM and the signals of all solutions were amplified by adding 10 μL of 18 </w:t>
      </w:r>
      <w:proofErr w:type="spellStart"/>
      <w:r w:rsidR="00342324" w:rsidRPr="00342324">
        <w:t>mM</w:t>
      </w:r>
      <w:proofErr w:type="spellEnd"/>
      <w:r w:rsidR="00342324" w:rsidRPr="00342324">
        <w:t xml:space="preserve"> 4-iodophenol in DMSO. The concentration of AAP was fixed at 2.5 </w:t>
      </w:r>
      <w:proofErr w:type="spellStart"/>
      <w:r w:rsidR="00342324" w:rsidRPr="00342324">
        <w:t>mM</w:t>
      </w:r>
      <w:proofErr w:type="spellEnd"/>
      <w:r w:rsidR="00342324" w:rsidRPr="00342324">
        <w:t xml:space="preserve">, while the concentration of H2O2 was varied between 1.7 </w:t>
      </w:r>
      <w:proofErr w:type="spellStart"/>
      <w:r w:rsidR="00342324" w:rsidRPr="00342324">
        <w:t>mM</w:t>
      </w:r>
      <w:proofErr w:type="spellEnd"/>
      <w:r w:rsidR="00342324" w:rsidRPr="00342324">
        <w:t xml:space="preserve"> to 106.25 μM. For every 0.75 </w:t>
      </w:r>
      <w:proofErr w:type="spellStart"/>
      <w:r w:rsidR="00342324" w:rsidRPr="00342324">
        <w:t>mL</w:t>
      </w:r>
      <w:proofErr w:type="spellEnd"/>
      <w:r w:rsidR="00342324" w:rsidRPr="00342324">
        <w:t xml:space="preserve"> of H2O2 solution, 0.7 </w:t>
      </w:r>
      <w:proofErr w:type="spellStart"/>
      <w:r w:rsidR="00342324" w:rsidRPr="00342324">
        <w:t>mL</w:t>
      </w:r>
      <w:proofErr w:type="spellEnd"/>
      <w:r w:rsidR="00342324" w:rsidRPr="00342324">
        <w:t xml:space="preserve"> of AAP solution was added, for a total volume, including that of the 4-iodophenol </w:t>
      </w:r>
      <w:proofErr w:type="gramStart"/>
      <w:r w:rsidR="00342324" w:rsidRPr="00342324">
        <w:t>solution</w:t>
      </w:r>
      <w:proofErr w:type="gramEnd"/>
      <w:r w:rsidR="00342324" w:rsidRPr="00342324">
        <w:t xml:space="preserve">, of about 1.46 </w:t>
      </w:r>
      <w:proofErr w:type="spellStart"/>
      <w:r w:rsidR="00342324" w:rsidRPr="00342324">
        <w:t>mL</w:t>
      </w:r>
      <w:proofErr w:type="spellEnd"/>
      <w:r w:rsidR="00342324" w:rsidRPr="00342324">
        <w:t xml:space="preserve"> in the cuvette.</w:t>
      </w:r>
    </w:p>
    <w:p w:rsidR="00342324" w:rsidRDefault="00342324"/>
    <w:p w:rsidR="00342324" w:rsidRDefault="00342324">
      <w:r>
        <w:rPr>
          <w:noProof/>
        </w:rPr>
        <w:drawing>
          <wp:inline distT="0" distB="0" distL="0" distR="0">
            <wp:extent cx="5943600" cy="4457700"/>
            <wp:effectExtent l="25400" t="0" r="0" b="0"/>
            <wp:docPr id="2" name="Picture 2" descr=":::::Desktop:Fixed_H2O2_Varied_A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Fixed_H2O2_Varied_AAP.png"/>
                    <pic:cNvPicPr>
                      <a:picLocks noChangeAspect="1" noChangeArrowheads="1"/>
                    </pic:cNvPicPr>
                  </pic:nvPicPr>
                  <pic:blipFill>
                    <a:blip r:embed="rId6"/>
                    <a:srcRect/>
                    <a:stretch>
                      <a:fillRect/>
                    </a:stretch>
                  </pic:blipFill>
                  <pic:spPr bwMode="auto">
                    <a:xfrm>
                      <a:off x="0" y="0"/>
                      <a:ext cx="5943600" cy="4457700"/>
                    </a:xfrm>
                    <a:prstGeom prst="rect">
                      <a:avLst/>
                    </a:prstGeom>
                    <a:noFill/>
                    <a:ln w="9525">
                      <a:noFill/>
                      <a:miter lim="800000"/>
                      <a:headEnd/>
                      <a:tailEnd/>
                    </a:ln>
                  </pic:spPr>
                </pic:pic>
              </a:graphicData>
            </a:graphic>
          </wp:inline>
        </w:drawing>
      </w:r>
    </w:p>
    <w:p w:rsidR="00475AB8" w:rsidRDefault="00342324">
      <w:r>
        <w:t>Figure B. Absorbance over time of enzymatic activity of HRP in fixed [H</w:t>
      </w:r>
      <w:r>
        <w:rPr>
          <w:vertAlign w:val="subscript"/>
        </w:rPr>
        <w:t>2</w:t>
      </w:r>
      <w:r>
        <w:t>O</w:t>
      </w:r>
      <w:r>
        <w:rPr>
          <w:vertAlign w:val="subscript"/>
        </w:rPr>
        <w:t>2</w:t>
      </w:r>
      <w:r>
        <w:t xml:space="preserve">] and varied [AAP] at 510nm. </w:t>
      </w:r>
      <w:r w:rsidRPr="00342324">
        <w:t xml:space="preserve">The concentration of HRP in all solutions was 2.3 μM and the signals of all solutions were amplified by adding 10 μL of 18 </w:t>
      </w:r>
      <w:proofErr w:type="spellStart"/>
      <w:r w:rsidRPr="00342324">
        <w:t>mM</w:t>
      </w:r>
      <w:proofErr w:type="spellEnd"/>
      <w:r w:rsidRPr="00342324">
        <w:t xml:space="preserve"> 4-iodophenol in DMSO. The concentration of H2O2 was fixed at 1.7 </w:t>
      </w:r>
      <w:proofErr w:type="spellStart"/>
      <w:r w:rsidRPr="00342324">
        <w:t>mM</w:t>
      </w:r>
      <w:proofErr w:type="spellEnd"/>
      <w:r w:rsidRPr="00342324">
        <w:t xml:space="preserve">, while the concentration of AAP was varied between 1.25 </w:t>
      </w:r>
      <w:proofErr w:type="spellStart"/>
      <w:r w:rsidRPr="00342324">
        <w:t>mM</w:t>
      </w:r>
      <w:proofErr w:type="spellEnd"/>
      <w:r w:rsidRPr="00342324">
        <w:t xml:space="preserve"> to 156.25 μM. For every 0.75 </w:t>
      </w:r>
      <w:proofErr w:type="spellStart"/>
      <w:r w:rsidRPr="00342324">
        <w:t>mL</w:t>
      </w:r>
      <w:proofErr w:type="spellEnd"/>
      <w:r w:rsidRPr="00342324">
        <w:t xml:space="preserve"> of H2O2 solution, 0.7 </w:t>
      </w:r>
      <w:proofErr w:type="spellStart"/>
      <w:r w:rsidRPr="00342324">
        <w:t>mL</w:t>
      </w:r>
      <w:proofErr w:type="spellEnd"/>
      <w:r w:rsidRPr="00342324">
        <w:t xml:space="preserve"> of AAP solution was added, for a total volume, including that of the 4-iodophenol </w:t>
      </w:r>
      <w:proofErr w:type="gramStart"/>
      <w:r w:rsidRPr="00342324">
        <w:t>solution</w:t>
      </w:r>
      <w:proofErr w:type="gramEnd"/>
      <w:r w:rsidRPr="00342324">
        <w:t xml:space="preserve">, of about 1.46 </w:t>
      </w:r>
      <w:proofErr w:type="spellStart"/>
      <w:r w:rsidRPr="00342324">
        <w:t>mL</w:t>
      </w:r>
      <w:proofErr w:type="spellEnd"/>
      <w:r w:rsidRPr="00342324">
        <w:t xml:space="preserve"> in the cuvette.</w:t>
      </w:r>
      <w:r w:rsidR="00475AB8">
        <w:br w:type="page"/>
      </w:r>
    </w:p>
    <w:p w:rsidR="00EA5810" w:rsidRDefault="00EA5810" w:rsidP="00475AB8">
      <w:pPr>
        <w:pStyle w:val="NoSpacing"/>
      </w:pPr>
    </w:p>
    <w:p w:rsidR="00257E5E" w:rsidRDefault="00257E5E" w:rsidP="00257E5E">
      <w:pPr>
        <w:pStyle w:val="NoSpacing"/>
      </w:pPr>
      <w:r>
        <w:t>HRP-</w:t>
      </w:r>
      <w:proofErr w:type="spellStart"/>
      <w:r>
        <w:t>Luminol</w:t>
      </w:r>
      <w:proofErr w:type="spellEnd"/>
      <w:r>
        <w:t xml:space="preserve"> Assay</w:t>
      </w:r>
    </w:p>
    <w:p w:rsidR="00257E5E" w:rsidRDefault="00257E5E" w:rsidP="00257E5E">
      <w:pPr>
        <w:pStyle w:val="NoSpacing"/>
      </w:pPr>
      <w:r>
        <w:tab/>
        <w:t xml:space="preserve">Horseradish </w:t>
      </w:r>
      <w:proofErr w:type="spellStart"/>
      <w:r>
        <w:t>peroxidase</w:t>
      </w:r>
      <w:proofErr w:type="spellEnd"/>
      <w:r>
        <w:t xml:space="preserve"> catalyzes the oxidation of luminol by H</w:t>
      </w:r>
      <w:r>
        <w:rPr>
          <w:vertAlign w:val="subscript"/>
        </w:rPr>
        <w:t>2</w:t>
      </w:r>
      <w:r>
        <w:t>O</w:t>
      </w:r>
      <w:r>
        <w:rPr>
          <w:vertAlign w:val="subscript"/>
        </w:rPr>
        <w:t>2</w:t>
      </w:r>
      <w:r>
        <w:t xml:space="preserve">.  The resultant luminescence, enhanced by adding 4-iodophenol to the solution, is monitored with a </w:t>
      </w:r>
      <w:proofErr w:type="spellStart"/>
      <w:r>
        <w:t>fluorimeter</w:t>
      </w:r>
      <w:proofErr w:type="spellEnd"/>
      <w:r>
        <w:t>.  A graph of intensity over time of the luminescence produced by the reaction can be used to determine the activity rates of HRP.</w:t>
      </w:r>
    </w:p>
    <w:p w:rsidR="00C32761" w:rsidRDefault="00257E5E" w:rsidP="00257E5E">
      <w:pPr>
        <w:pStyle w:val="NoSpacing"/>
      </w:pPr>
      <w:r>
        <w:tab/>
        <w:t xml:space="preserve">Initial experiments with the HRP-luminol assay were based on the luminescence procedure found on </w:t>
      </w:r>
      <w:proofErr w:type="spellStart"/>
      <w:r>
        <w:t>Dropbox</w:t>
      </w:r>
      <w:proofErr w:type="spellEnd"/>
      <w:r>
        <w:t xml:space="preserve"> [1].</w:t>
      </w:r>
      <w:r w:rsidR="00EA5810">
        <w:t xml:space="preserve">  Deviations from the protocol are as follows</w:t>
      </w:r>
      <w:r w:rsidR="00C32761">
        <w:t>:</w:t>
      </w:r>
    </w:p>
    <w:p w:rsidR="00EA5810" w:rsidRDefault="00EA5810" w:rsidP="00EA5810">
      <w:pPr>
        <w:pStyle w:val="NoSpacing"/>
        <w:numPr>
          <w:ilvl w:val="0"/>
          <w:numId w:val="3"/>
        </w:numPr>
      </w:pPr>
      <w:r>
        <w:t>Luminol was found to be immiscible in water, so sodium carbonate was added to the solution to dissolve it completely.  Then sodium bicarbonate was added to adjust the pH to 7.</w:t>
      </w:r>
    </w:p>
    <w:p w:rsidR="00EA5810" w:rsidRDefault="00EA5810" w:rsidP="00EA5810">
      <w:pPr>
        <w:pStyle w:val="NoSpacing"/>
        <w:numPr>
          <w:ilvl w:val="0"/>
          <w:numId w:val="3"/>
        </w:numPr>
      </w:pPr>
      <w:r>
        <w:t>4-Iodophenol was also found to be immiscible in water, so it was dissolved in DMSO instead.  Note that the amount of DMSO in the reaction solution was dilute enough that it did not affect the reaction and luminescence.</w:t>
      </w:r>
    </w:p>
    <w:p w:rsidR="00C32761" w:rsidRDefault="00EA5810" w:rsidP="00EA5810">
      <w:pPr>
        <w:pStyle w:val="NoSpacing"/>
      </w:pPr>
      <w:r>
        <w:t xml:space="preserve">The </w:t>
      </w:r>
      <w:proofErr w:type="spellStart"/>
      <w:r>
        <w:t>fluorimeter</w:t>
      </w:r>
      <w:proofErr w:type="spellEnd"/>
      <w:r>
        <w:t xml:space="preserve"> was set to take a </w:t>
      </w:r>
      <w:proofErr w:type="spellStart"/>
      <w:r>
        <w:t>TimeDrive</w:t>
      </w:r>
      <w:proofErr w:type="spellEnd"/>
      <w:r>
        <w:t xml:space="preserve"> spectrum.  The excitation wavelength was</w:t>
      </w:r>
      <w:r w:rsidR="00C32761">
        <w:t xml:space="preserve"> 350 nm and the emission wavelength was 430 nm.  The excitation slit width was 15 nm and the emission slit width was 20 nm.</w:t>
      </w:r>
      <w:r>
        <w:t xml:space="preserve"> </w:t>
      </w:r>
      <w:r w:rsidR="00C32761">
        <w:t xml:space="preserve"> These settings were not changed for the duration of the experiment.  It was also determined that the optimal solution volume for fluorescence measurements was slightly less than 2 </w:t>
      </w:r>
      <w:proofErr w:type="spellStart"/>
      <w:r w:rsidR="00C32761">
        <w:t>mL</w:t>
      </w:r>
      <w:proofErr w:type="spellEnd"/>
      <w:r w:rsidR="00C32761">
        <w:t xml:space="preserve">.  This total volume determined the amounts of solutions added to the 3 </w:t>
      </w:r>
      <w:proofErr w:type="spellStart"/>
      <w:r w:rsidR="00C32761">
        <w:t>mL</w:t>
      </w:r>
      <w:proofErr w:type="spellEnd"/>
      <w:r w:rsidR="00C32761">
        <w:t xml:space="preserve"> cuvette (Table 1).  These volumes were not varied, unless indicated.</w:t>
      </w:r>
    </w:p>
    <w:p w:rsidR="00C32761" w:rsidRDefault="00C32761" w:rsidP="00EA5810">
      <w:pPr>
        <w:pStyle w:val="NoSpacing"/>
      </w:pPr>
    </w:p>
    <w:p w:rsidR="00C32761" w:rsidRDefault="00C32761" w:rsidP="00EA5810">
      <w:pPr>
        <w:pStyle w:val="NoSpacing"/>
      </w:pPr>
      <w:r>
        <w:t>Table 1: Volumes of Components of the Reaction Solution</w:t>
      </w:r>
    </w:p>
    <w:tbl>
      <w:tblPr>
        <w:tblStyle w:val="TableGrid"/>
        <w:tblW w:w="0" w:type="auto"/>
        <w:tblLook w:val="04A0"/>
      </w:tblPr>
      <w:tblGrid>
        <w:gridCol w:w="4788"/>
        <w:gridCol w:w="4788"/>
      </w:tblGrid>
      <w:tr w:rsidR="00C32761">
        <w:tc>
          <w:tcPr>
            <w:tcW w:w="4788" w:type="dxa"/>
          </w:tcPr>
          <w:p w:rsidR="00C32761" w:rsidRDefault="00C32761" w:rsidP="00EA5810">
            <w:pPr>
              <w:pStyle w:val="NoSpacing"/>
            </w:pPr>
            <w:r>
              <w:t>Solution</w:t>
            </w:r>
          </w:p>
        </w:tc>
        <w:tc>
          <w:tcPr>
            <w:tcW w:w="4788" w:type="dxa"/>
          </w:tcPr>
          <w:p w:rsidR="00C32761" w:rsidRDefault="00C32761" w:rsidP="00EA5810">
            <w:pPr>
              <w:pStyle w:val="NoSpacing"/>
            </w:pPr>
            <w:r>
              <w:t>Volume [μL]</w:t>
            </w:r>
          </w:p>
        </w:tc>
      </w:tr>
      <w:tr w:rsidR="00C32761">
        <w:tc>
          <w:tcPr>
            <w:tcW w:w="4788" w:type="dxa"/>
          </w:tcPr>
          <w:p w:rsidR="00C32761" w:rsidRDefault="00C32761" w:rsidP="00EA5810">
            <w:pPr>
              <w:pStyle w:val="NoSpacing"/>
            </w:pPr>
            <w:r>
              <w:t>4-Iodophenol</w:t>
            </w:r>
          </w:p>
        </w:tc>
        <w:tc>
          <w:tcPr>
            <w:tcW w:w="4788" w:type="dxa"/>
          </w:tcPr>
          <w:p w:rsidR="00C32761" w:rsidRDefault="00C32761" w:rsidP="00EA5810">
            <w:pPr>
              <w:pStyle w:val="NoSpacing"/>
            </w:pPr>
            <w:r>
              <w:t>13.2</w:t>
            </w:r>
          </w:p>
        </w:tc>
      </w:tr>
      <w:tr w:rsidR="00C32761">
        <w:tc>
          <w:tcPr>
            <w:tcW w:w="4788" w:type="dxa"/>
          </w:tcPr>
          <w:p w:rsidR="00C32761" w:rsidRDefault="00C32761" w:rsidP="00EA5810">
            <w:pPr>
              <w:pStyle w:val="NoSpacing"/>
            </w:pPr>
            <w:r>
              <w:t>Luminol</w:t>
            </w:r>
          </w:p>
        </w:tc>
        <w:tc>
          <w:tcPr>
            <w:tcW w:w="4788" w:type="dxa"/>
          </w:tcPr>
          <w:p w:rsidR="00C32761" w:rsidRDefault="00C32761" w:rsidP="00EA5810">
            <w:pPr>
              <w:pStyle w:val="NoSpacing"/>
            </w:pPr>
            <w:r>
              <w:t>920</w:t>
            </w:r>
          </w:p>
        </w:tc>
      </w:tr>
      <w:tr w:rsidR="00C32761">
        <w:tc>
          <w:tcPr>
            <w:tcW w:w="4788" w:type="dxa"/>
          </w:tcPr>
          <w:p w:rsidR="00C32761" w:rsidRPr="00C32761" w:rsidRDefault="00C32761" w:rsidP="00EA5810">
            <w:pPr>
              <w:pStyle w:val="NoSpacing"/>
              <w:rPr>
                <w:vertAlign w:val="subscript"/>
              </w:rPr>
            </w:pPr>
            <w:r>
              <w:t>H</w:t>
            </w:r>
            <w:r>
              <w:rPr>
                <w:vertAlign w:val="subscript"/>
              </w:rPr>
              <w:t>2</w:t>
            </w:r>
            <w:r>
              <w:t>O</w:t>
            </w:r>
            <w:r>
              <w:rPr>
                <w:vertAlign w:val="subscript"/>
              </w:rPr>
              <w:t>2</w:t>
            </w:r>
          </w:p>
        </w:tc>
        <w:tc>
          <w:tcPr>
            <w:tcW w:w="4788" w:type="dxa"/>
          </w:tcPr>
          <w:p w:rsidR="00C32761" w:rsidRDefault="00C32761" w:rsidP="00EA5810">
            <w:pPr>
              <w:pStyle w:val="NoSpacing"/>
            </w:pPr>
            <w:r>
              <w:t>990</w:t>
            </w:r>
          </w:p>
        </w:tc>
      </w:tr>
      <w:tr w:rsidR="00C32761">
        <w:tc>
          <w:tcPr>
            <w:tcW w:w="4788" w:type="dxa"/>
          </w:tcPr>
          <w:p w:rsidR="00C32761" w:rsidRDefault="00C32761" w:rsidP="00EA5810">
            <w:pPr>
              <w:pStyle w:val="NoSpacing"/>
            </w:pPr>
            <w:r>
              <w:t>HRP</w:t>
            </w:r>
          </w:p>
        </w:tc>
        <w:tc>
          <w:tcPr>
            <w:tcW w:w="4788" w:type="dxa"/>
          </w:tcPr>
          <w:p w:rsidR="00C32761" w:rsidRDefault="00C32761" w:rsidP="00EA5810">
            <w:pPr>
              <w:pStyle w:val="NoSpacing"/>
            </w:pPr>
            <w:r>
              <w:t>66</w:t>
            </w:r>
          </w:p>
        </w:tc>
      </w:tr>
    </w:tbl>
    <w:p w:rsidR="00C32761" w:rsidRDefault="00C32761" w:rsidP="00EA5810">
      <w:pPr>
        <w:pStyle w:val="NoSpacing"/>
      </w:pPr>
      <w:r>
        <w:t xml:space="preserve"> </w:t>
      </w:r>
    </w:p>
    <w:p w:rsidR="00EA5810" w:rsidRPr="00EA5810" w:rsidRDefault="00C32761" w:rsidP="00C32761">
      <w:pPr>
        <w:pStyle w:val="NoSpacing"/>
        <w:ind w:firstLine="720"/>
      </w:pPr>
      <w:r>
        <w:t>T</w:t>
      </w:r>
      <w:r w:rsidR="00EA5810">
        <w:t>he original concentrations of the solutions of luminol, H</w:t>
      </w:r>
      <w:r w:rsidR="00EA5810">
        <w:rPr>
          <w:vertAlign w:val="subscript"/>
        </w:rPr>
        <w:t>2</w:t>
      </w:r>
      <w:r w:rsidR="00EA5810">
        <w:t>O</w:t>
      </w:r>
      <w:r w:rsidR="00EA5810">
        <w:rPr>
          <w:vertAlign w:val="subscript"/>
        </w:rPr>
        <w:t>2</w:t>
      </w:r>
      <w:r w:rsidR="00EA5810">
        <w:t xml:space="preserve">, and HRP were found to give meaningless results, </w:t>
      </w:r>
      <w:r>
        <w:t xml:space="preserve">so </w:t>
      </w:r>
      <w:r w:rsidR="00EA5810">
        <w:t>they were diluted and then recombined in various reaction solutions.</w:t>
      </w:r>
    </w:p>
    <w:p w:rsidR="00EA5810" w:rsidRPr="00EA5810" w:rsidRDefault="00EA5810" w:rsidP="00EA5810">
      <w:pPr>
        <w:pStyle w:val="NoSpacing"/>
      </w:pPr>
      <w:r>
        <w:t>Another study of the HRP-luminol assay indicated that the optimal pH for the reaction is 8.5 and that the optimal mole ratio of H</w:t>
      </w:r>
      <w:r>
        <w:rPr>
          <w:vertAlign w:val="subscript"/>
        </w:rPr>
        <w:t>2</w:t>
      </w:r>
      <w:r>
        <w:t>O</w:t>
      </w:r>
      <w:r>
        <w:rPr>
          <w:vertAlign w:val="subscript"/>
        </w:rPr>
        <w:t>2</w:t>
      </w:r>
      <w:r>
        <w:t xml:space="preserve"> to luminol is 2.2 [2].  </w:t>
      </w:r>
    </w:p>
    <w:p w:rsidR="00257E5E" w:rsidRDefault="00257E5E" w:rsidP="00257E5E">
      <w:pPr>
        <w:pStyle w:val="NoSpacing"/>
      </w:pPr>
    </w:p>
    <w:p w:rsidR="00257E5E" w:rsidRDefault="00257E5E" w:rsidP="00257E5E">
      <w:pPr>
        <w:pStyle w:val="NoSpacing"/>
      </w:pPr>
      <w:r>
        <w:t>References</w:t>
      </w:r>
    </w:p>
    <w:p w:rsidR="00257E5E" w:rsidRDefault="00257E5E" w:rsidP="00257E5E">
      <w:pPr>
        <w:pStyle w:val="NoSpacing"/>
        <w:numPr>
          <w:ilvl w:val="0"/>
          <w:numId w:val="2"/>
        </w:numPr>
      </w:pPr>
      <w:proofErr w:type="spellStart"/>
      <w:r>
        <w:t>Kricka</w:t>
      </w:r>
      <w:proofErr w:type="spellEnd"/>
      <w:r>
        <w:t xml:space="preserve">, L.J. </w:t>
      </w:r>
      <w:proofErr w:type="spellStart"/>
      <w:r>
        <w:t>Chemiluminescent</w:t>
      </w:r>
      <w:proofErr w:type="spellEnd"/>
      <w:r>
        <w:t xml:space="preserve"> and bioluminescent techniques.</w:t>
      </w:r>
      <w:r w:rsidR="00D37FAF">
        <w:t xml:space="preserve"> </w:t>
      </w:r>
      <w:proofErr w:type="spellStart"/>
      <w:r w:rsidR="00D37FAF">
        <w:rPr>
          <w:i/>
        </w:rPr>
        <w:t>Clin</w:t>
      </w:r>
      <w:proofErr w:type="spellEnd"/>
      <w:r w:rsidR="00D37FAF">
        <w:rPr>
          <w:i/>
        </w:rPr>
        <w:t>. Chem.</w:t>
      </w:r>
      <w:r w:rsidR="00D37FAF">
        <w:t xml:space="preserve"> </w:t>
      </w:r>
      <w:r w:rsidR="00D37FAF">
        <w:rPr>
          <w:b/>
        </w:rPr>
        <w:t>1991</w:t>
      </w:r>
      <w:r w:rsidR="00D37FAF">
        <w:t>, 37, 1472-1481.</w:t>
      </w:r>
    </w:p>
    <w:p w:rsidR="00EA5810" w:rsidRPr="00257E5E" w:rsidRDefault="00EF349F" w:rsidP="00257E5E">
      <w:pPr>
        <w:pStyle w:val="NoSpacing"/>
        <w:numPr>
          <w:ilvl w:val="0"/>
          <w:numId w:val="2"/>
        </w:numPr>
      </w:pPr>
      <w:r>
        <w:t xml:space="preserve">GoldBio.com. Horseradish </w:t>
      </w:r>
      <w:proofErr w:type="spellStart"/>
      <w:r>
        <w:t>Peroxidase</w:t>
      </w:r>
      <w:proofErr w:type="spellEnd"/>
      <w:r>
        <w:t xml:space="preserve"> Assay.</w:t>
      </w:r>
    </w:p>
    <w:p w:rsidR="00257E5E" w:rsidRDefault="00257E5E" w:rsidP="00257E5E">
      <w:pPr>
        <w:pStyle w:val="NoSpacing"/>
      </w:pPr>
    </w:p>
    <w:p w:rsidR="00257E5E" w:rsidRDefault="00257E5E" w:rsidP="00257E5E">
      <w:pPr>
        <w:pStyle w:val="NoSpacing"/>
      </w:pPr>
      <w:r>
        <w:t>Catalyzes the oxidation of luminol by h2o2</w:t>
      </w:r>
    </w:p>
    <w:p w:rsidR="004F5C34" w:rsidRDefault="004F5C34">
      <w:r>
        <w:t>What we did</w:t>
      </w:r>
    </w:p>
    <w:p w:rsidR="004F5C34" w:rsidRDefault="004F5C34" w:rsidP="004F5C34">
      <w:pPr>
        <w:pStyle w:val="ListParagraph"/>
        <w:numPr>
          <w:ilvl w:val="0"/>
          <w:numId w:val="1"/>
        </w:numPr>
      </w:pPr>
      <w:r>
        <w:t xml:space="preserve">Followed procedure on </w:t>
      </w:r>
      <w:proofErr w:type="spellStart"/>
      <w:r>
        <w:t>Dropbox</w:t>
      </w:r>
      <w:proofErr w:type="spellEnd"/>
    </w:p>
    <w:p w:rsidR="004F5C34" w:rsidRDefault="004F5C34" w:rsidP="004F5C34">
      <w:pPr>
        <w:pStyle w:val="ListParagraph"/>
        <w:numPr>
          <w:ilvl w:val="1"/>
          <w:numId w:val="1"/>
        </w:numPr>
      </w:pPr>
      <w:r>
        <w:t xml:space="preserve">Made 2.5 </w:t>
      </w:r>
      <w:proofErr w:type="spellStart"/>
      <w:r>
        <w:t>mM</w:t>
      </w:r>
      <w:proofErr w:type="spellEnd"/>
      <w:r>
        <w:t xml:space="preserve"> </w:t>
      </w:r>
      <w:proofErr w:type="spellStart"/>
      <w:r>
        <w:t>luminol</w:t>
      </w:r>
      <w:proofErr w:type="spellEnd"/>
      <w:r>
        <w:t xml:space="preserve"> stock solution (note that it is immiscible in water, so sodium carbonate was added to dissolve it completely.  Then, sodium bicarbonate was added to adjust the pH to 7.  Literature indicates that the optimal pH for luminol-HRP assay is 8.5 -&gt; refer to article posted on CHEM-571 Literature Survey page).</w:t>
      </w:r>
    </w:p>
    <w:p w:rsidR="004F5C34" w:rsidRDefault="004F5C34" w:rsidP="004F5C34">
      <w:pPr>
        <w:pStyle w:val="ListParagraph"/>
        <w:numPr>
          <w:ilvl w:val="1"/>
          <w:numId w:val="1"/>
        </w:numPr>
      </w:pPr>
      <w:r>
        <w:t xml:space="preserve">Made 2.3 μM HRP stock </w:t>
      </w:r>
      <w:proofErr w:type="gramStart"/>
      <w:r>
        <w:t>solution -&gt; refer</w:t>
      </w:r>
      <w:proofErr w:type="gramEnd"/>
      <w:r>
        <w:t xml:space="preserve"> to protocol on 2012/09/18.  Further testing indicated that the HRP concentration was too high, so it was diluted to concentrations </w:t>
      </w:r>
      <w:proofErr w:type="gramStart"/>
      <w:r>
        <w:t>of  1.15</w:t>
      </w:r>
      <w:proofErr w:type="gramEnd"/>
      <w:r>
        <w:t xml:space="preserve"> μM, and 0.23 μM.  Concentrations of 9.2 μM and 4.6 μM were also made.</w:t>
      </w:r>
    </w:p>
    <w:p w:rsidR="004F5C34" w:rsidRDefault="004F5C34" w:rsidP="004F5C34">
      <w:pPr>
        <w:pStyle w:val="ListParagraph"/>
        <w:numPr>
          <w:ilvl w:val="1"/>
          <w:numId w:val="1"/>
        </w:numPr>
      </w:pPr>
      <w:r>
        <w:t xml:space="preserve">Made 1.7 </w:t>
      </w:r>
      <w:proofErr w:type="spellStart"/>
      <w:r>
        <w:t>mM</w:t>
      </w:r>
      <w:proofErr w:type="spellEnd"/>
      <w:r>
        <w:t xml:space="preserve"> H</w:t>
      </w:r>
      <w:r>
        <w:rPr>
          <w:vertAlign w:val="subscript"/>
        </w:rPr>
        <w:t>2</w:t>
      </w:r>
      <w:r>
        <w:t>O</w:t>
      </w:r>
      <w:r>
        <w:rPr>
          <w:vertAlign w:val="subscript"/>
        </w:rPr>
        <w:t>2</w:t>
      </w:r>
      <w:r>
        <w:t xml:space="preserve"> stock solution from 30% H</w:t>
      </w:r>
      <w:r>
        <w:rPr>
          <w:vertAlign w:val="subscript"/>
        </w:rPr>
        <w:t>2</w:t>
      </w:r>
      <w:r>
        <w:t>O</w:t>
      </w:r>
      <w:r>
        <w:rPr>
          <w:vertAlign w:val="subscript"/>
        </w:rPr>
        <w:t>2</w:t>
      </w:r>
      <w:r>
        <w:t xml:space="preserve"> in water and 0.2 M sodium phosphate buffer.</w:t>
      </w:r>
    </w:p>
    <w:p w:rsidR="004F5C34" w:rsidRDefault="004F5C34" w:rsidP="004F5C34">
      <w:pPr>
        <w:pStyle w:val="ListParagraph"/>
        <w:numPr>
          <w:ilvl w:val="1"/>
          <w:numId w:val="1"/>
        </w:numPr>
      </w:pPr>
      <w:r>
        <w:t xml:space="preserve">Made 18 </w:t>
      </w:r>
      <w:proofErr w:type="spellStart"/>
      <w:r>
        <w:t>mM</w:t>
      </w:r>
      <w:proofErr w:type="spellEnd"/>
      <w:r>
        <w:t xml:space="preserve"> 4-iodophenol solution in DMSO, as 4-iodophenol is immiscible in water.  Note that DMSO in the final solution has negligible effects on the reaction and </w:t>
      </w:r>
      <w:proofErr w:type="spellStart"/>
      <w:r>
        <w:t>chemiluminescence</w:t>
      </w:r>
      <w:proofErr w:type="spellEnd"/>
      <w:r>
        <w:t>.</w:t>
      </w:r>
    </w:p>
    <w:p w:rsidR="004F5C34" w:rsidRDefault="004F5C34" w:rsidP="004F5C34">
      <w:pPr>
        <w:pStyle w:val="ListParagraph"/>
        <w:numPr>
          <w:ilvl w:val="0"/>
          <w:numId w:val="1"/>
        </w:numPr>
      </w:pPr>
      <w:r>
        <w:t>Although various combinations of dilutions of H</w:t>
      </w:r>
      <w:r>
        <w:rPr>
          <w:vertAlign w:val="subscript"/>
        </w:rPr>
        <w:t>2</w:t>
      </w:r>
      <w:r>
        <w:t>O</w:t>
      </w:r>
      <w:r>
        <w:rPr>
          <w:vertAlign w:val="subscript"/>
        </w:rPr>
        <w:t>2</w:t>
      </w:r>
      <w:r>
        <w:t xml:space="preserve"> and luminol were tested, it was determined that the optimal concentration of H</w:t>
      </w:r>
      <w:r>
        <w:rPr>
          <w:vertAlign w:val="subscript"/>
        </w:rPr>
        <w:t>2</w:t>
      </w:r>
      <w:r>
        <w:t>O</w:t>
      </w:r>
      <w:r>
        <w:rPr>
          <w:vertAlign w:val="subscript"/>
        </w:rPr>
        <w:t xml:space="preserve">2 </w:t>
      </w:r>
      <w:r>
        <w:t xml:space="preserve">was 1.7 </w:t>
      </w:r>
      <w:proofErr w:type="spellStart"/>
      <w:r>
        <w:t>mM</w:t>
      </w:r>
      <w:proofErr w:type="spellEnd"/>
      <w:r>
        <w:t xml:space="preserve"> and that of luminol was around 0.625-1.25 </w:t>
      </w:r>
      <w:proofErr w:type="spellStart"/>
      <w:r>
        <w:t>mM</w:t>
      </w:r>
      <w:proofErr w:type="spellEnd"/>
      <w:r>
        <w:t>.  (Note that literature indicates that the optimal mole ratio of H</w:t>
      </w:r>
      <w:r>
        <w:rPr>
          <w:vertAlign w:val="subscript"/>
        </w:rPr>
        <w:t>2</w:t>
      </w:r>
      <w:r>
        <w:t>O</w:t>
      </w:r>
      <w:r>
        <w:rPr>
          <w:vertAlign w:val="subscript"/>
        </w:rPr>
        <w:t xml:space="preserve">2 </w:t>
      </w:r>
      <w:r>
        <w:t>to luminol is 2.2.)</w:t>
      </w:r>
      <w:r w:rsidR="00185402">
        <w:t xml:space="preserve">.  It was also observed that at higher concentrations of HRP, the reaction proceeded too quickly and the </w:t>
      </w:r>
      <w:proofErr w:type="spellStart"/>
      <w:r w:rsidR="00185402">
        <w:t>chemiluminescence</w:t>
      </w:r>
      <w:proofErr w:type="spellEnd"/>
      <w:r w:rsidR="00185402">
        <w:t xml:space="preserve"> was too transient to be monitored within a time period of 300 s.</w:t>
      </w:r>
    </w:p>
    <w:sectPr w:rsidR="004F5C34" w:rsidSect="00E471FC">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54E7A"/>
    <w:multiLevelType w:val="hybridMultilevel"/>
    <w:tmpl w:val="DCB839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C533C3"/>
    <w:multiLevelType w:val="hybridMultilevel"/>
    <w:tmpl w:val="26A27E78"/>
    <w:lvl w:ilvl="0" w:tplc="FA72761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9F6753"/>
    <w:multiLevelType w:val="hybridMultilevel"/>
    <w:tmpl w:val="3174A586"/>
    <w:lvl w:ilvl="0" w:tplc="E0B409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297AA7"/>
    <w:multiLevelType w:val="hybridMultilevel"/>
    <w:tmpl w:val="90B2A85A"/>
    <w:lvl w:ilvl="0" w:tplc="5D26159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1B3E52"/>
    <w:multiLevelType w:val="hybridMultilevel"/>
    <w:tmpl w:val="EB580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4F5C34"/>
    <w:rsid w:val="00185402"/>
    <w:rsid w:val="00257E5E"/>
    <w:rsid w:val="00342324"/>
    <w:rsid w:val="00475AB8"/>
    <w:rsid w:val="004F5C34"/>
    <w:rsid w:val="0075296A"/>
    <w:rsid w:val="00793CEB"/>
    <w:rsid w:val="00C32761"/>
    <w:rsid w:val="00CD54D3"/>
    <w:rsid w:val="00D37FAF"/>
    <w:rsid w:val="00E471FC"/>
    <w:rsid w:val="00EA5810"/>
    <w:rsid w:val="00EF349F"/>
    <w:rsid w:val="00F02C69"/>
  </w:rsids>
  <m:mathPr>
    <m:mathFont m:val="Lucida Grande"/>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rsid w:val="00E471FC"/>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4F5C34"/>
    <w:pPr>
      <w:ind w:left="720"/>
      <w:contextualSpacing/>
    </w:pPr>
  </w:style>
  <w:style w:type="paragraph" w:styleId="NoSpacing">
    <w:name w:val="No Spacing"/>
    <w:uiPriority w:val="1"/>
    <w:qFormat/>
    <w:rsid w:val="00257E5E"/>
    <w:pPr>
      <w:spacing w:after="0" w:line="240" w:lineRule="auto"/>
    </w:pPr>
  </w:style>
  <w:style w:type="table" w:styleId="TableGrid">
    <w:name w:val="Table Grid"/>
    <w:basedOn w:val="TableNormal"/>
    <w:uiPriority w:val="59"/>
    <w:rsid w:val="00C327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74800021">
      <w:bodyDiv w:val="1"/>
      <w:marLeft w:val="0"/>
      <w:marRight w:val="0"/>
      <w:marTop w:val="0"/>
      <w:marBottom w:val="0"/>
      <w:divBdr>
        <w:top w:val="none" w:sz="0" w:space="0" w:color="auto"/>
        <w:left w:val="none" w:sz="0" w:space="0" w:color="auto"/>
        <w:bottom w:val="none" w:sz="0" w:space="0" w:color="auto"/>
        <w:right w:val="none" w:sz="0" w:space="0" w:color="auto"/>
      </w:divBdr>
    </w:div>
    <w:div w:id="310521973">
      <w:bodyDiv w:val="1"/>
      <w:marLeft w:val="0"/>
      <w:marRight w:val="0"/>
      <w:marTop w:val="0"/>
      <w:marBottom w:val="0"/>
      <w:divBdr>
        <w:top w:val="none" w:sz="0" w:space="0" w:color="auto"/>
        <w:left w:val="none" w:sz="0" w:space="0" w:color="auto"/>
        <w:bottom w:val="none" w:sz="0" w:space="0" w:color="auto"/>
        <w:right w:val="none" w:sz="0" w:space="0" w:color="auto"/>
      </w:divBdr>
    </w:div>
    <w:div w:id="428625382">
      <w:bodyDiv w:val="1"/>
      <w:marLeft w:val="0"/>
      <w:marRight w:val="0"/>
      <w:marTop w:val="0"/>
      <w:marBottom w:val="0"/>
      <w:divBdr>
        <w:top w:val="none" w:sz="0" w:space="0" w:color="auto"/>
        <w:left w:val="none" w:sz="0" w:space="0" w:color="auto"/>
        <w:bottom w:val="none" w:sz="0" w:space="0" w:color="auto"/>
        <w:right w:val="none" w:sz="0" w:space="0" w:color="auto"/>
      </w:divBdr>
    </w:div>
    <w:div w:id="1025905185">
      <w:bodyDiv w:val="1"/>
      <w:marLeft w:val="0"/>
      <w:marRight w:val="0"/>
      <w:marTop w:val="0"/>
      <w:marBottom w:val="0"/>
      <w:divBdr>
        <w:top w:val="none" w:sz="0" w:space="0" w:color="auto"/>
        <w:left w:val="none" w:sz="0" w:space="0" w:color="auto"/>
        <w:bottom w:val="none" w:sz="0" w:space="0" w:color="auto"/>
        <w:right w:val="none" w:sz="0" w:space="0" w:color="auto"/>
      </w:divBdr>
    </w:div>
    <w:div w:id="1355225662">
      <w:bodyDiv w:val="1"/>
      <w:marLeft w:val="0"/>
      <w:marRight w:val="0"/>
      <w:marTop w:val="0"/>
      <w:marBottom w:val="0"/>
      <w:divBdr>
        <w:top w:val="none" w:sz="0" w:space="0" w:color="auto"/>
        <w:left w:val="none" w:sz="0" w:space="0" w:color="auto"/>
        <w:bottom w:val="none" w:sz="0" w:space="0" w:color="auto"/>
        <w:right w:val="none" w:sz="0" w:space="0" w:color="auto"/>
      </w:divBdr>
    </w:div>
    <w:div w:id="178044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1003</Words>
  <Characters>5720</Characters>
  <Application>Microsoft Macintosh Word</Application>
  <DocSecurity>0</DocSecurity>
  <Lines>47</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BioChem</dc:creator>
  <cp:keywords/>
  <dc:description/>
  <cp:lastModifiedBy>Dhea Patel</cp:lastModifiedBy>
  <cp:revision>2</cp:revision>
  <dcterms:created xsi:type="dcterms:W3CDTF">2012-09-27T04:12:00Z</dcterms:created>
  <dcterms:modified xsi:type="dcterms:W3CDTF">2012-09-27T04:12:00Z</dcterms:modified>
</cp:coreProperties>
</file>