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03" w:rsidRDefault="00150803" w:rsidP="00D31F5C">
      <w:pPr>
        <w:pStyle w:val="Title"/>
      </w:pPr>
      <w:proofErr w:type="spellStart"/>
      <w:r>
        <w:t>Biol</w:t>
      </w:r>
      <w:proofErr w:type="spellEnd"/>
      <w:r>
        <w:t xml:space="preserve"> 398/Math 388:</w:t>
      </w:r>
    </w:p>
    <w:p w:rsidR="00400160" w:rsidRDefault="00150803" w:rsidP="00D31F5C">
      <w:pPr>
        <w:pStyle w:val="Title"/>
      </w:pPr>
      <w:r>
        <w:t>A</w:t>
      </w:r>
      <w:r w:rsidR="00741A6C">
        <w:t xml:space="preserve"> simple </w:t>
      </w:r>
      <w:proofErr w:type="spellStart"/>
      <w:r w:rsidR="00741A6C">
        <w:t>chemostat</w:t>
      </w:r>
      <w:proofErr w:type="spellEnd"/>
      <w:r w:rsidR="00741A6C">
        <w:t xml:space="preserve"> model of nutrients and population growth</w:t>
      </w:r>
    </w:p>
    <w:p w:rsidR="002D2315" w:rsidRDefault="00150803">
      <w:proofErr w:type="gramStart"/>
      <w:r w:rsidRPr="00150803">
        <w:rPr>
          <w:b/>
        </w:rPr>
        <w:t>Background.</w:t>
      </w:r>
      <w:proofErr w:type="gramEnd"/>
      <w:r>
        <w:t xml:space="preserve"> </w:t>
      </w:r>
      <w:r w:rsidR="002D2315">
        <w:t xml:space="preserve">The </w:t>
      </w:r>
      <w:proofErr w:type="spellStart"/>
      <w:r w:rsidR="002D2315">
        <w:t>chemostat</w:t>
      </w:r>
      <w:proofErr w:type="spellEnd"/>
      <w:r w:rsidR="002D2315">
        <w:t xml:space="preserve"> is an idealization of a reactor for growing populations of cells like yeast.  Nutrients are f</w:t>
      </w:r>
      <w:r w:rsidR="007A4DFD">
        <w:t>e</w:t>
      </w:r>
      <w:r w:rsidR="002D2315">
        <w:t>d continuously at a fixed flow rate and concentration, and effluent is extracted at a fixed flow rate.  A slight subtlety in the extraction part is that what is extracted is at a fixed flow rate, to keep the volume constant, but the effluent has a concentration that depends</w:t>
      </w:r>
      <w:r w:rsidR="00E725C6">
        <w:t xml:space="preserve"> on the reaction.  An illustration of the </w:t>
      </w:r>
      <w:proofErr w:type="spellStart"/>
      <w:r w:rsidR="00E725C6">
        <w:t>chemostat</w:t>
      </w:r>
      <w:proofErr w:type="spellEnd"/>
      <w:r w:rsidR="00E725C6">
        <w:t xml:space="preserve"> is given below.</w:t>
      </w:r>
    </w:p>
    <w:p w:rsidR="00741A6C" w:rsidRDefault="00266684" w:rsidP="00E725C6">
      <w:pPr>
        <w:jc w:val="center"/>
      </w:pPr>
      <w:r>
        <w:rPr>
          <w:noProof/>
          <w:lang w:eastAsia="en-US"/>
        </w:rPr>
        <w:drawing>
          <wp:inline distT="0" distB="0" distL="0" distR="0">
            <wp:extent cx="2390775" cy="3390900"/>
            <wp:effectExtent l="0" t="0" r="9525" b="0"/>
            <wp:docPr id="1" name="Picture 1" descr="chemo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most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3390900"/>
                    </a:xfrm>
                    <a:prstGeom prst="rect">
                      <a:avLst/>
                    </a:prstGeom>
                    <a:noFill/>
                    <a:ln>
                      <a:noFill/>
                    </a:ln>
                  </pic:spPr>
                </pic:pic>
              </a:graphicData>
            </a:graphic>
          </wp:inline>
        </w:drawing>
      </w:r>
    </w:p>
    <w:p w:rsidR="002D2315" w:rsidRDefault="002D2315" w:rsidP="00E725C6">
      <w:pPr>
        <w:pStyle w:val="caption"/>
      </w:pPr>
      <w:proofErr w:type="gramStart"/>
      <w:r>
        <w:t>Figure 1.</w:t>
      </w:r>
      <w:proofErr w:type="gramEnd"/>
      <w:r>
        <w:t xml:space="preserve">  </w:t>
      </w:r>
      <w:proofErr w:type="spellStart"/>
      <w:proofErr w:type="gramStart"/>
      <w:r>
        <w:t>Chemostat</w:t>
      </w:r>
      <w:proofErr w:type="spellEnd"/>
      <w:r>
        <w:t xml:space="preserve"> cartoon from </w:t>
      </w:r>
      <w:r w:rsidR="00E725C6">
        <w:t>Wikipedia.</w:t>
      </w:r>
      <w:proofErr w:type="gramEnd"/>
    </w:p>
    <w:p w:rsidR="00E725C6" w:rsidRDefault="00E725C6">
      <w:r>
        <w:t xml:space="preserve">The basic assumption of the </w:t>
      </w:r>
      <w:proofErr w:type="spellStart"/>
      <w:r>
        <w:t>chemostat</w:t>
      </w:r>
      <w:proofErr w:type="spellEnd"/>
      <w:r>
        <w:t xml:space="preserve"> is that the contents are sufficiently well mixed that the concentration of the mixture is uniform throughout the container.  Under this assumption, we do not need to consider spatial effects or non-uniformity of nutrients and cells: all cells have equal access to nutrient.</w:t>
      </w:r>
    </w:p>
    <w:p w:rsidR="00E725C6" w:rsidRDefault="00E725C6">
      <w:r>
        <w:t xml:space="preserve">If the </w:t>
      </w:r>
      <w:r w:rsidR="00B45543">
        <w:t xml:space="preserve">volumetric inflow rate is </w:t>
      </w:r>
      <w:r w:rsidR="00B45543" w:rsidRPr="00B45543">
        <w:rPr>
          <w:i/>
        </w:rPr>
        <w:t>Q</w:t>
      </w:r>
      <w:r w:rsidR="00B45543">
        <w:t xml:space="preserve"> (</w:t>
      </w:r>
      <w:proofErr w:type="spellStart"/>
      <w:r w:rsidR="00B45543">
        <w:t>vol</w:t>
      </w:r>
      <w:proofErr w:type="spellEnd"/>
      <w:r w:rsidR="00B45543">
        <w:t xml:space="preserve">/time), then the </w:t>
      </w:r>
      <w:r w:rsidRPr="007A4DFD">
        <w:rPr>
          <w:b/>
        </w:rPr>
        <w:t>dilution rate</w:t>
      </w:r>
      <w:r>
        <w:t xml:space="preserve"> is </w:t>
      </w:r>
      <w:r w:rsidR="00B45543">
        <w:rPr>
          <w:rFonts w:ascii="Times New Roman" w:hAnsi="Times New Roman"/>
          <w:i/>
        </w:rPr>
        <w:t>q= Q/</w:t>
      </w:r>
      <w:proofErr w:type="gramStart"/>
      <w:r w:rsidR="00B45543">
        <w:rPr>
          <w:rFonts w:ascii="Times New Roman" w:hAnsi="Times New Roman"/>
          <w:i/>
        </w:rPr>
        <w:t xml:space="preserve">V </w:t>
      </w:r>
      <w:r>
        <w:t xml:space="preserve"> in</w:t>
      </w:r>
      <w:proofErr w:type="gramEnd"/>
      <w:r>
        <w:t xml:space="preserve"> units of (1/time), </w:t>
      </w:r>
      <w:r w:rsidR="00B45543">
        <w:t xml:space="preserve">where the volume of the mixture in the tank is </w:t>
      </w:r>
      <w:r w:rsidR="00B45543" w:rsidRPr="00D31F5C">
        <w:rPr>
          <w:rFonts w:ascii="Times New Roman" w:hAnsi="Times New Roman"/>
          <w:i/>
        </w:rPr>
        <w:t>V</w:t>
      </w:r>
      <w:r w:rsidR="00B45543">
        <w:t xml:space="preserve"> (and that’s constant: the effluent outflow rate is assumed the same as the inflow dilution rate).  T</w:t>
      </w:r>
      <w:r>
        <w:t xml:space="preserve">he </w:t>
      </w:r>
      <w:r w:rsidRPr="007A4DFD">
        <w:rPr>
          <w:b/>
        </w:rPr>
        <w:t>feed concentration</w:t>
      </w:r>
      <w:r>
        <w:t xml:space="preserve"> is </w:t>
      </w:r>
      <w:r w:rsidRPr="00D31F5C">
        <w:rPr>
          <w:rFonts w:ascii="Times New Roman" w:hAnsi="Times New Roman"/>
          <w:i/>
        </w:rPr>
        <w:t>u</w:t>
      </w:r>
      <w:r>
        <w:t xml:space="preserve"> (in concentration units, mass o</w:t>
      </w:r>
      <w:r w:rsidR="00B45543">
        <w:t>r molar). T</w:t>
      </w:r>
      <w:r>
        <w:t xml:space="preserve">hen the concentration of the nutrient </w:t>
      </w:r>
      <w:proofErr w:type="gramStart"/>
      <w:r w:rsidR="007A4DFD">
        <w:rPr>
          <w:rFonts w:ascii="Times New Roman" w:hAnsi="Times New Roman"/>
          <w:i/>
        </w:rPr>
        <w:t>y(</w:t>
      </w:r>
      <w:proofErr w:type="gramEnd"/>
      <w:r w:rsidR="007802B2" w:rsidRPr="00D31F5C">
        <w:rPr>
          <w:rFonts w:ascii="Times New Roman" w:hAnsi="Times New Roman"/>
          <w:i/>
        </w:rPr>
        <w:t>t</w:t>
      </w:r>
      <w:r w:rsidR="007802B2">
        <w:t xml:space="preserve">) </w:t>
      </w:r>
      <w:r>
        <w:t>can be determined as follows:</w:t>
      </w:r>
    </w:p>
    <w:p w:rsidR="00E725C6" w:rsidRDefault="007802B2" w:rsidP="00D31F5C">
      <w:pPr>
        <w:jc w:val="center"/>
      </w:pPr>
      <w:r>
        <w:t>Rate of change of nutrient = inflow rate – outflow rate – rate consumed in the tank.</w:t>
      </w:r>
    </w:p>
    <w:p w:rsidR="007802B2" w:rsidRDefault="007802B2">
      <w:r>
        <w:lastRenderedPageBreak/>
        <w:t xml:space="preserve">Now, the inflow rate is </w:t>
      </w:r>
      <w:r w:rsidR="00B45543">
        <w:rPr>
          <w:rFonts w:ascii="Times New Roman" w:hAnsi="Times New Roman"/>
          <w:i/>
        </w:rPr>
        <w:t>q</w:t>
      </w:r>
      <w:r w:rsidRPr="00D31F5C">
        <w:rPr>
          <w:rFonts w:ascii="Times New Roman" w:hAnsi="Times New Roman"/>
        </w:rPr>
        <w:t>*</w:t>
      </w:r>
      <w:r w:rsidRPr="00D31F5C">
        <w:rPr>
          <w:rFonts w:ascii="Times New Roman" w:hAnsi="Times New Roman"/>
          <w:i/>
        </w:rPr>
        <w:t>u</w:t>
      </w:r>
      <w:r>
        <w:t xml:space="preserve"> (and this is assumed to be a constant, independent of time).  The outflow rate is </w:t>
      </w:r>
      <w:r w:rsidR="00B45543">
        <w:rPr>
          <w:rFonts w:ascii="Times New Roman" w:hAnsi="Times New Roman"/>
          <w:i/>
        </w:rPr>
        <w:t>q</w:t>
      </w:r>
      <w:r w:rsidRPr="00D31F5C">
        <w:rPr>
          <w:rFonts w:ascii="Times New Roman" w:hAnsi="Times New Roman"/>
        </w:rPr>
        <w:t>*</w:t>
      </w:r>
      <w:proofErr w:type="gramStart"/>
      <w:r w:rsidR="007A4DFD">
        <w:rPr>
          <w:rFonts w:ascii="Times New Roman" w:hAnsi="Times New Roman"/>
          <w:i/>
        </w:rPr>
        <w:t>y</w:t>
      </w:r>
      <w:r w:rsidRPr="00D31F5C">
        <w:rPr>
          <w:rFonts w:ascii="Times New Roman" w:hAnsi="Times New Roman"/>
        </w:rPr>
        <w:t>(</w:t>
      </w:r>
      <w:proofErr w:type="gramEnd"/>
      <w:r w:rsidRPr="00D31F5C">
        <w:rPr>
          <w:rFonts w:ascii="Times New Roman" w:hAnsi="Times New Roman"/>
          <w:i/>
        </w:rPr>
        <w:t>t</w:t>
      </w:r>
      <w:r w:rsidRPr="00D31F5C">
        <w:rPr>
          <w:rFonts w:ascii="Times New Roman" w:hAnsi="Times New Roman"/>
        </w:rPr>
        <w:t>)</w:t>
      </w:r>
      <w:r>
        <w:t>, because the effluent is extracted from the uniform, well-mixed tank contents.</w:t>
      </w:r>
      <w:r w:rsidR="000E5200">
        <w:t xml:space="preserve">  Thus, we have</w:t>
      </w:r>
    </w:p>
    <w:p w:rsidR="000E5200" w:rsidRDefault="007A4DFD" w:rsidP="00D31F5C">
      <w:pPr>
        <w:jc w:val="center"/>
      </w:pPr>
      <w:r w:rsidRPr="000E5200">
        <w:rPr>
          <w:position w:val="-24"/>
        </w:rPr>
        <w:object w:dxaOrig="1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0.75pt" o:ole="">
            <v:imagedata r:id="rId7" o:title=""/>
          </v:shape>
          <o:OLEObject Type="Embed" ProgID="Equation.3" ShapeID="_x0000_i1025" DrawAspect="Content" ObjectID="_1484459117" r:id="rId8"/>
        </w:object>
      </w:r>
      <w:proofErr w:type="gramStart"/>
      <w:r w:rsidR="00D31F5C">
        <w:t>consumption</w:t>
      </w:r>
      <w:proofErr w:type="gramEnd"/>
      <w:r w:rsidR="00D31F5C">
        <w:t xml:space="preserve"> rate</w:t>
      </w:r>
    </w:p>
    <w:p w:rsidR="0030391C" w:rsidRDefault="00FE0757" w:rsidP="0030391C">
      <w:r>
        <w:t xml:space="preserve">The model of consumption we consider is called Monod, </w:t>
      </w:r>
      <w:proofErr w:type="spellStart"/>
      <w:r>
        <w:t>Michaelis-Menten</w:t>
      </w:r>
      <w:proofErr w:type="spellEnd"/>
      <w:r>
        <w:t>, or Briggs-Haldane, depending on the context, and it adds a third term to the mass balance equation due to cell population consumption of the nutrient.</w:t>
      </w:r>
    </w:p>
    <w:p w:rsidR="008F4E12" w:rsidRDefault="007A4DFD" w:rsidP="00D31F5C">
      <w:pPr>
        <w:jc w:val="center"/>
      </w:pPr>
      <w:r w:rsidRPr="007A4DFD">
        <w:rPr>
          <w:position w:val="-28"/>
        </w:rPr>
        <w:object w:dxaOrig="3420" w:dyaOrig="660">
          <v:shape id="_x0000_i1026" type="#_x0000_t75" style="width:171pt;height:33pt" o:ole="">
            <v:imagedata r:id="rId9" o:title=""/>
          </v:shape>
          <o:OLEObject Type="Embed" ProgID="Equation.3" ShapeID="_x0000_i1026" DrawAspect="Content" ObjectID="_1484459118" r:id="rId10"/>
        </w:object>
      </w:r>
    </w:p>
    <w:p w:rsidR="003C6018" w:rsidRDefault="008F4E12" w:rsidP="0030391C">
      <w:proofErr w:type="gramStart"/>
      <w:r>
        <w:t>to</w:t>
      </w:r>
      <w:proofErr w:type="gramEnd"/>
      <w:r>
        <w:t xml:space="preserve"> capture inflow, outflow, and metabolism of the nutrient.  </w:t>
      </w:r>
      <w:r w:rsidR="007A4DFD">
        <w:t xml:space="preserve">Here we </w:t>
      </w:r>
      <w:proofErr w:type="gramStart"/>
      <w:r w:rsidR="007A4DFD">
        <w:t xml:space="preserve">introduce </w:t>
      </w:r>
      <w:r>
        <w:t xml:space="preserve"> </w:t>
      </w:r>
      <w:r w:rsidR="007A4DFD">
        <w:rPr>
          <w:rFonts w:ascii="Times New Roman" w:hAnsi="Times New Roman"/>
          <w:i/>
        </w:rPr>
        <w:t>x</w:t>
      </w:r>
      <w:proofErr w:type="gramEnd"/>
      <w:r>
        <w:t>, the concentration of yeast cells in the mixture</w:t>
      </w:r>
      <w:r w:rsidR="007A4DFD">
        <w:t>, and the parameter e denotes a unit conversion rate between biomass (the units of x) and nutrient concentration</w:t>
      </w:r>
      <w:r>
        <w:t>.</w:t>
      </w:r>
    </w:p>
    <w:p w:rsidR="00AB796D" w:rsidRDefault="007A4DFD" w:rsidP="0030391C">
      <w:r>
        <w:t>We model the population of cells with its own differential equation, coupled with the nutrient by</w:t>
      </w:r>
      <w:r w:rsidR="00AB796D">
        <w:t xml:space="preserve"> </w:t>
      </w:r>
    </w:p>
    <w:p w:rsidR="00AB796D" w:rsidRDefault="00254C85" w:rsidP="00D31F5C">
      <w:pPr>
        <w:jc w:val="center"/>
      </w:pPr>
      <w:r w:rsidRPr="007A4DFD">
        <w:rPr>
          <w:position w:val="-28"/>
        </w:rPr>
        <w:object w:dxaOrig="2460" w:dyaOrig="660">
          <v:shape id="_x0000_i1027" type="#_x0000_t75" style="width:123pt;height:33pt" o:ole="">
            <v:imagedata r:id="rId11" o:title=""/>
          </v:shape>
          <o:OLEObject Type="Embed" ProgID="Equation.3" ShapeID="_x0000_i1027" DrawAspect="Content" ObjectID="_1484459119" r:id="rId12"/>
        </w:object>
      </w:r>
    </w:p>
    <w:p w:rsidR="00AB796D" w:rsidRDefault="00FE0757" w:rsidP="0030391C">
      <w:proofErr w:type="gramStart"/>
      <w:r>
        <w:t>s</w:t>
      </w:r>
      <w:r w:rsidR="00AB796D">
        <w:t>o</w:t>
      </w:r>
      <w:proofErr w:type="gramEnd"/>
      <w:r w:rsidR="00AB796D">
        <w:t xml:space="preserve"> that the net growth rate depends on the nutrient level.  This model leads to a coupled pair of differential equations, because the consumption model depends on the size of the population:</w:t>
      </w:r>
    </w:p>
    <w:p w:rsidR="00AB796D" w:rsidRDefault="007A4DFD" w:rsidP="007A4DFD">
      <w:pPr>
        <w:jc w:val="center"/>
      </w:pPr>
      <w:r w:rsidRPr="007A4DFD">
        <w:rPr>
          <w:position w:val="-62"/>
        </w:rPr>
        <w:object w:dxaOrig="2940" w:dyaOrig="1359">
          <v:shape id="_x0000_i1028" type="#_x0000_t75" style="width:147pt;height:68.25pt" o:ole="">
            <v:imagedata r:id="rId13" o:title=""/>
          </v:shape>
          <o:OLEObject Type="Embed" ProgID="Equation.3" ShapeID="_x0000_i1028" DrawAspect="Content" ObjectID="_1484459120" r:id="rId14"/>
        </w:object>
      </w:r>
    </w:p>
    <w:p w:rsidR="003C6018" w:rsidRDefault="003C6018" w:rsidP="00205EB5">
      <w:r>
        <w:t xml:space="preserve">Among the interesting things to consider is the equilibrium, or steady state.  By equilibrium, we mean a state that would remain constant in time if we reached it.  Since constant functions have 0 </w:t>
      </w:r>
      <w:proofErr w:type="gramStart"/>
      <w:r>
        <w:t>derivative</w:t>
      </w:r>
      <w:proofErr w:type="gramEnd"/>
      <w:r>
        <w:t>, steady states can be found by setting the right hand side of the DE system to 0:</w:t>
      </w:r>
    </w:p>
    <w:p w:rsidR="003C6018" w:rsidRDefault="003C6018" w:rsidP="003C6018">
      <w:pPr>
        <w:jc w:val="center"/>
      </w:pPr>
      <w:r w:rsidRPr="007A4DFD">
        <w:rPr>
          <w:position w:val="-62"/>
        </w:rPr>
        <w:object w:dxaOrig="3300" w:dyaOrig="1359">
          <v:shape id="_x0000_i1031" type="#_x0000_t75" style="width:165pt;height:68.25pt" o:ole="">
            <v:imagedata r:id="rId15" o:title=""/>
          </v:shape>
          <o:OLEObject Type="Embed" ProgID="Equation.3" ShapeID="_x0000_i1031" DrawAspect="Content" ObjectID="_1484459121" r:id="rId16"/>
        </w:object>
      </w:r>
    </w:p>
    <w:p w:rsidR="003C6018" w:rsidRDefault="003C6018" w:rsidP="00205EB5">
      <w:r>
        <w:t>Looking at the second equation, we see that x=0 works (but that’s not interesting, as the cell population would be extinct).  If x is not 0, then we must have</w:t>
      </w:r>
    </w:p>
    <w:p w:rsidR="003C6018" w:rsidRDefault="003C6018" w:rsidP="003C6018">
      <w:pPr>
        <w:jc w:val="center"/>
      </w:pPr>
      <w:r w:rsidRPr="003C6018">
        <w:rPr>
          <w:position w:val="-62"/>
        </w:rPr>
        <w:object w:dxaOrig="2020" w:dyaOrig="1359">
          <v:shape id="_x0000_i1032" type="#_x0000_t75" style="width:101.25pt;height:68.25pt" o:ole="">
            <v:imagedata r:id="rId17" o:title=""/>
          </v:shape>
          <o:OLEObject Type="Embed" ProgID="Equation.3" ShapeID="_x0000_i1032" DrawAspect="Content" ObjectID="_1484459122" r:id="rId18"/>
        </w:object>
      </w:r>
    </w:p>
    <w:p w:rsidR="003C6018" w:rsidRDefault="003C6018" w:rsidP="00205EB5">
      <w:proofErr w:type="gramStart"/>
      <w:r>
        <w:t>as</w:t>
      </w:r>
      <w:proofErr w:type="gramEnd"/>
      <w:r>
        <w:t xml:space="preserve"> part of the equilibrium condition. Plugging the first part of this into the first equation, we get that</w:t>
      </w:r>
    </w:p>
    <w:p w:rsidR="003C6018" w:rsidRDefault="003C6018" w:rsidP="003C6018">
      <w:pPr>
        <w:jc w:val="center"/>
      </w:pPr>
      <w:r w:rsidRPr="003C6018">
        <w:rPr>
          <w:position w:val="-44"/>
        </w:rPr>
        <w:object w:dxaOrig="1480" w:dyaOrig="999">
          <v:shape id="_x0000_i1033" type="#_x0000_t75" style="width:74.25pt;height:50.25pt" o:ole="">
            <v:imagedata r:id="rId19" o:title=""/>
          </v:shape>
          <o:OLEObject Type="Embed" ProgID="Equation.3" ShapeID="_x0000_i1033" DrawAspect="Content" ObjectID="_1484459123" r:id="rId20"/>
        </w:object>
      </w:r>
    </w:p>
    <w:p w:rsidR="003C6018" w:rsidRDefault="003C6018" w:rsidP="00205EB5">
      <w:r>
        <w:t xml:space="preserve">Two important things to note are that the steady state nutrient concentration is independent of the federate </w:t>
      </w:r>
      <w:r w:rsidRPr="003C6018">
        <w:rPr>
          <w:i/>
        </w:rPr>
        <w:t>u</w:t>
      </w:r>
      <w:r>
        <w:t xml:space="preserve">, while the cell population depends linearly on </w:t>
      </w:r>
      <w:r w:rsidRPr="003C6018">
        <w:rPr>
          <w:i/>
        </w:rPr>
        <w:t>u</w:t>
      </w:r>
      <w:r>
        <w:t xml:space="preserve">.  That’s not what we observed in the </w:t>
      </w:r>
      <w:proofErr w:type="spellStart"/>
      <w:r>
        <w:t>terSchure</w:t>
      </w:r>
      <w:proofErr w:type="spellEnd"/>
      <w:r>
        <w:t xml:space="preserve"> experiments.</w:t>
      </w:r>
    </w:p>
    <w:p w:rsidR="001A47F3" w:rsidRDefault="00205EB5" w:rsidP="00205EB5">
      <w:r>
        <w:t>Many organisms require and/or live off multiple nutrients.  What happens in such a case?  There are at least three possible structures for multiple nutrients, each of which can be written</w:t>
      </w:r>
    </w:p>
    <w:p w:rsidR="00205EB5" w:rsidRDefault="00205EB5" w:rsidP="00205EB5"/>
    <w:p w:rsidR="00205EB5" w:rsidRDefault="00205EB5" w:rsidP="00205EB5">
      <w:pPr>
        <w:jc w:val="center"/>
      </w:pPr>
      <w:r w:rsidRPr="00205EB5">
        <w:rPr>
          <w:position w:val="-88"/>
        </w:rPr>
        <w:object w:dxaOrig="2540" w:dyaOrig="1920">
          <v:shape id="_x0000_i1029" type="#_x0000_t75" style="width:126.75pt;height:96pt" o:ole="">
            <v:imagedata r:id="rId21" o:title=""/>
          </v:shape>
          <o:OLEObject Type="Embed" ProgID="Equation.3" ShapeID="_x0000_i1029" DrawAspect="Content" ObjectID="_1484459124" r:id="rId22"/>
        </w:object>
      </w:r>
    </w:p>
    <w:p w:rsidR="00205EB5" w:rsidRDefault="00205EB5" w:rsidP="00205EB5">
      <w:proofErr w:type="gramStart"/>
      <w:r>
        <w:t>in</w:t>
      </w:r>
      <w:proofErr w:type="gramEnd"/>
      <w:r>
        <w:t xml:space="preserve"> which </w:t>
      </w:r>
      <w:r w:rsidRPr="00205EB5">
        <w:rPr>
          <w:i/>
        </w:rPr>
        <w:t>y</w:t>
      </w:r>
      <w:r>
        <w:t xml:space="preserve"> and </w:t>
      </w:r>
      <w:r w:rsidRPr="00205EB5">
        <w:rPr>
          <w:i/>
        </w:rPr>
        <w:t>z</w:t>
      </w:r>
      <w:r>
        <w:t xml:space="preserve"> denote the two nutrients, with </w:t>
      </w:r>
      <w:r w:rsidRPr="00205EB5">
        <w:rPr>
          <w:i/>
        </w:rPr>
        <w:t>x</w:t>
      </w:r>
      <w:r>
        <w:t xml:space="preserve"> again denoting the cell population. All three of these state variable quantities are measured in concentration units.  The numbers </w:t>
      </w:r>
      <w:r w:rsidRPr="00205EB5">
        <w:rPr>
          <w:rFonts w:ascii="Symbol" w:hAnsi="Symbol"/>
          <w:i/>
        </w:rPr>
        <w:t></w:t>
      </w:r>
      <w:r w:rsidRPr="00205EB5">
        <w:rPr>
          <w:rFonts w:ascii="Symbol" w:hAnsi="Symbol"/>
          <w:i/>
        </w:rPr>
        <w:t></w:t>
      </w:r>
      <w:r>
        <w:t xml:space="preserve">and </w:t>
      </w:r>
      <w:r w:rsidRPr="00205EB5">
        <w:rPr>
          <w:rFonts w:ascii="Symbol" w:hAnsi="Symbol"/>
          <w:i/>
        </w:rPr>
        <w:t></w:t>
      </w:r>
      <w:r>
        <w:t xml:space="preserve"> denote conversion rates of biomass concentration/nutrient concentration. The choice of the function </w:t>
      </w:r>
      <w:r w:rsidRPr="00205EB5">
        <w:rPr>
          <w:i/>
        </w:rPr>
        <w:t>f</w:t>
      </w:r>
      <w:r>
        <w:t xml:space="preserve"> is the tough bit of modeling, with the following three being popular:</w:t>
      </w:r>
    </w:p>
    <w:p w:rsidR="00205EB5" w:rsidRDefault="002F2797" w:rsidP="00205EB5">
      <w:r w:rsidRPr="00205EB5">
        <w:rPr>
          <w:position w:val="-98"/>
        </w:rPr>
        <w:object w:dxaOrig="8320" w:dyaOrig="2079">
          <v:shape id="_x0000_i1030" type="#_x0000_t75" style="width:416.25pt;height:104.25pt" o:ole="">
            <v:imagedata r:id="rId23" o:title=""/>
          </v:shape>
          <o:OLEObject Type="Embed" ProgID="Equation.3" ShapeID="_x0000_i1030" DrawAspect="Content" ObjectID="_1484459125" r:id="rId24"/>
        </w:object>
      </w:r>
    </w:p>
    <w:p w:rsidR="00205EB5" w:rsidRPr="00205EB5" w:rsidRDefault="00205EB5" w:rsidP="00205EB5">
      <w:r>
        <w:t xml:space="preserve">We will start with the last form, working out the steady state and data comparison in detail. </w:t>
      </w:r>
      <w:r w:rsidR="003C6018">
        <w:t xml:space="preserve"> More to come on this topic.</w:t>
      </w:r>
      <w:bookmarkStart w:id="0" w:name="_GoBack"/>
      <w:bookmarkEnd w:id="0"/>
    </w:p>
    <w:sectPr w:rsidR="00205EB5" w:rsidRPr="00205EB5" w:rsidSect="00400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01F5"/>
    <w:multiLevelType w:val="hybridMultilevel"/>
    <w:tmpl w:val="9B74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D80E86"/>
    <w:multiLevelType w:val="hybridMultilevel"/>
    <w:tmpl w:val="CC6CCA58"/>
    <w:lvl w:ilvl="0" w:tplc="11C40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616E50"/>
    <w:multiLevelType w:val="hybridMultilevel"/>
    <w:tmpl w:val="807A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A6C"/>
    <w:rsid w:val="000401D7"/>
    <w:rsid w:val="000939B8"/>
    <w:rsid w:val="000E5200"/>
    <w:rsid w:val="00150803"/>
    <w:rsid w:val="001A47F3"/>
    <w:rsid w:val="00205EB5"/>
    <w:rsid w:val="00254C85"/>
    <w:rsid w:val="00266684"/>
    <w:rsid w:val="002D2315"/>
    <w:rsid w:val="002F2797"/>
    <w:rsid w:val="0030391C"/>
    <w:rsid w:val="003C6018"/>
    <w:rsid w:val="00400160"/>
    <w:rsid w:val="004E329C"/>
    <w:rsid w:val="005D4D8D"/>
    <w:rsid w:val="006127CE"/>
    <w:rsid w:val="00741A6C"/>
    <w:rsid w:val="007802B2"/>
    <w:rsid w:val="007A4DFD"/>
    <w:rsid w:val="00874390"/>
    <w:rsid w:val="008F4E12"/>
    <w:rsid w:val="00934DB9"/>
    <w:rsid w:val="009C1AD5"/>
    <w:rsid w:val="00AB796D"/>
    <w:rsid w:val="00AD5951"/>
    <w:rsid w:val="00B45543"/>
    <w:rsid w:val="00C8219B"/>
    <w:rsid w:val="00D31F5C"/>
    <w:rsid w:val="00E725C6"/>
    <w:rsid w:val="00FE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60"/>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
    <w:name w:val="caption"/>
    <w:basedOn w:val="Normal"/>
    <w:qFormat/>
    <w:rsid w:val="00E725C6"/>
    <w:pPr>
      <w:jc w:val="center"/>
    </w:pPr>
    <w:rPr>
      <w:b/>
      <w:sz w:val="18"/>
    </w:rPr>
  </w:style>
  <w:style w:type="paragraph" w:styleId="Title">
    <w:name w:val="Title"/>
    <w:basedOn w:val="Normal"/>
    <w:next w:val="Normal"/>
    <w:link w:val="TitleChar"/>
    <w:uiPriority w:val="10"/>
    <w:qFormat/>
    <w:rsid w:val="00D31F5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31F5C"/>
    <w:rPr>
      <w:rFonts w:ascii="Cambria" w:eastAsia="SimSun" w:hAnsi="Cambria" w:cs="Times New Roman"/>
      <w:b/>
      <w:bCs/>
      <w:kern w:val="28"/>
      <w:sz w:val="32"/>
      <w:szCs w:val="32"/>
    </w:rPr>
  </w:style>
  <w:style w:type="paragraph" w:styleId="BalloonText">
    <w:name w:val="Balloon Text"/>
    <w:basedOn w:val="Normal"/>
    <w:link w:val="BalloonTextChar"/>
    <w:uiPriority w:val="99"/>
    <w:semiHidden/>
    <w:unhideWhenUsed/>
    <w:rsid w:val="00205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EB5"/>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60"/>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
    <w:name w:val="caption"/>
    <w:basedOn w:val="Normal"/>
    <w:qFormat/>
    <w:rsid w:val="00E725C6"/>
    <w:pPr>
      <w:jc w:val="center"/>
    </w:pPr>
    <w:rPr>
      <w:b/>
      <w:sz w:val="18"/>
    </w:rPr>
  </w:style>
  <w:style w:type="paragraph" w:styleId="Title">
    <w:name w:val="Title"/>
    <w:basedOn w:val="Normal"/>
    <w:next w:val="Normal"/>
    <w:link w:val="TitleChar"/>
    <w:uiPriority w:val="10"/>
    <w:qFormat/>
    <w:rsid w:val="00D31F5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31F5C"/>
    <w:rPr>
      <w:rFonts w:ascii="Cambria" w:eastAsia="SimSun" w:hAnsi="Cambria" w:cs="Times New Roman"/>
      <w:b/>
      <w:bCs/>
      <w:kern w:val="28"/>
      <w:sz w:val="32"/>
      <w:szCs w:val="32"/>
    </w:rPr>
  </w:style>
  <w:style w:type="paragraph" w:styleId="BalloonText">
    <w:name w:val="Balloon Text"/>
    <w:basedOn w:val="Normal"/>
    <w:link w:val="BalloonTextChar"/>
    <w:uiPriority w:val="99"/>
    <w:semiHidden/>
    <w:unhideWhenUsed/>
    <w:rsid w:val="00205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EB5"/>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wmf"/><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oleObject2.bin"/><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Loyola Marymount University</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Fitzpatrick</cp:lastModifiedBy>
  <cp:revision>4</cp:revision>
  <cp:lastPrinted>2011-02-10T13:55:00Z</cp:lastPrinted>
  <dcterms:created xsi:type="dcterms:W3CDTF">2015-02-03T16:32:00Z</dcterms:created>
  <dcterms:modified xsi:type="dcterms:W3CDTF">2015-02-03T16:58:00Z</dcterms:modified>
</cp:coreProperties>
</file>