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2BD" w:rsidRDefault="000732BD"/>
    <w:p w:rsidR="000732BD" w:rsidRDefault="000732BD"/>
    <w:p w:rsidR="000732BD" w:rsidRDefault="000732BD">
      <w:r w:rsidRPr="00E921A0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2.75pt;margin-top:253.6pt;width:164.3pt;height:21pt;z-index:251660288;mso-width-relative:margin;mso-height-relative:margin" stroked="f">
            <v:textbox style="mso-next-textbox:#_x0000_s1026">
              <w:txbxContent>
                <w:p w:rsidR="005F2FC8" w:rsidRPr="005F2FC8" w:rsidRDefault="005F2FC8" w:rsidP="005F2FC8">
                  <w:pPr>
                    <w:jc w:val="center"/>
                    <w:rPr>
                      <w:rFonts w:ascii="Arial" w:hAnsi="Arial"/>
                      <w:color w:val="215868" w:themeColor="accent5" w:themeShade="80"/>
                    </w:rPr>
                  </w:pPr>
                  <w:r w:rsidRPr="005F2FC8">
                    <w:rPr>
                      <w:rFonts w:ascii="Arial" w:hAnsi="Arial"/>
                      <w:color w:val="215868" w:themeColor="accent5" w:themeShade="80"/>
                    </w:rPr>
                    <w:t>KONDISI ADAPTASI AKTIF</w:t>
                  </w:r>
                </w:p>
                <w:p w:rsidR="005F2FC8" w:rsidRDefault="005F2FC8" w:rsidP="005F2FC8">
                  <w:pPr>
                    <w:jc w:val="center"/>
                  </w:pPr>
                </w:p>
              </w:txbxContent>
            </v:textbox>
          </v:shape>
        </w:pict>
      </w:r>
      <w:r w:rsidR="005F2FC8" w:rsidRPr="005F2FC8">
        <w:drawing>
          <wp:inline distT="0" distB="0" distL="0" distR="0">
            <wp:extent cx="5838825" cy="3581400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732BD" w:rsidRDefault="000732BD"/>
    <w:p w:rsidR="000732BD" w:rsidRDefault="000732BD"/>
    <w:p w:rsidR="000732BD" w:rsidRDefault="000732BD">
      <w:r w:rsidRPr="000732BD">
        <w:drawing>
          <wp:inline distT="0" distB="0" distL="0" distR="0">
            <wp:extent cx="5838825" cy="3210560"/>
            <wp:effectExtent l="19050" t="0" r="9525" b="889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732BD" w:rsidRDefault="000732BD"/>
    <w:sectPr w:rsidR="000732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2FC8"/>
    <w:rsid w:val="000732BD"/>
    <w:rsid w:val="005F2FC8"/>
    <w:rsid w:val="00A21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F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Book1" TargetMode="External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Users\samsung\Documents\tugasb%20ibu.xlsx" TargetMode="External"/><Relationship Id="rId1" Type="http://schemas.openxmlformats.org/officeDocument/2006/relationships/image" Target="../media/image2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plotArea>
      <c:layout>
        <c:manualLayout>
          <c:layoutTarget val="inner"/>
          <c:xMode val="edge"/>
          <c:yMode val="edge"/>
          <c:x val="8.7757896494585846E-2"/>
          <c:y val="2.4477020159714084E-2"/>
          <c:w val="0.59142841239461719"/>
          <c:h val="0.91558496677277046"/>
        </c:manualLayout>
      </c:layout>
      <c:barChart>
        <c:barDir val="col"/>
        <c:grouping val="clustered"/>
        <c:ser>
          <c:idx val="0"/>
          <c:order val="0"/>
          <c:tx>
            <c:strRef>
              <c:f>Sheet1!$B$3</c:f>
              <c:strCache>
                <c:ptCount val="1"/>
                <c:pt idx="0">
                  <c:v>Sebelum Kacamata dipakai</c:v>
                </c:pt>
              </c:strCache>
            </c:strRef>
          </c:tx>
          <c:cat>
            <c:strRef>
              <c:f>Sheet1!$A$4:$A$15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rata2</c:v>
                </c:pt>
                <c:pt idx="11">
                  <c:v>SD</c:v>
                </c:pt>
              </c:strCache>
            </c:strRef>
          </c:cat>
          <c:val>
            <c:numRef>
              <c:f>Sheet1!$B$4:$B$15</c:f>
              <c:numCache>
                <c:formatCode>General</c:formatCode>
                <c:ptCount val="12"/>
                <c:pt idx="0">
                  <c:v>-9.75</c:v>
                </c:pt>
                <c:pt idx="1">
                  <c:v>11</c:v>
                </c:pt>
                <c:pt idx="2">
                  <c:v>68.599999999999994</c:v>
                </c:pt>
                <c:pt idx="3">
                  <c:v>-1.6</c:v>
                </c:pt>
                <c:pt idx="4">
                  <c:v>9.4</c:v>
                </c:pt>
                <c:pt idx="5">
                  <c:v>-10.4</c:v>
                </c:pt>
                <c:pt idx="6">
                  <c:v>14.4</c:v>
                </c:pt>
                <c:pt idx="7">
                  <c:v>-9.9</c:v>
                </c:pt>
                <c:pt idx="8">
                  <c:v>-2.6</c:v>
                </c:pt>
                <c:pt idx="9">
                  <c:v>10.5</c:v>
                </c:pt>
                <c:pt idx="10">
                  <c:v>7.9650000000000007</c:v>
                </c:pt>
                <c:pt idx="11">
                  <c:v>23.354919182048135</c:v>
                </c:pt>
              </c:numCache>
            </c:numRef>
          </c:val>
        </c:ser>
        <c:ser>
          <c:idx val="1"/>
          <c:order val="1"/>
          <c:tx>
            <c:strRef>
              <c:f>Sheet1!$C$3</c:f>
              <c:strCache>
                <c:ptCount val="1"/>
                <c:pt idx="0">
                  <c:v>Saat Kacamata dipakai</c:v>
                </c:pt>
              </c:strCache>
            </c:strRef>
          </c:tx>
          <c:cat>
            <c:strRef>
              <c:f>Sheet1!$A$4:$A$15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rata2</c:v>
                </c:pt>
                <c:pt idx="11">
                  <c:v>SD</c:v>
                </c:pt>
              </c:strCache>
            </c:strRef>
          </c:cat>
          <c:val>
            <c:numRef>
              <c:f>Sheet1!$C$4:$C$15</c:f>
              <c:numCache>
                <c:formatCode>General</c:formatCode>
                <c:ptCount val="12"/>
                <c:pt idx="0">
                  <c:v>78.2</c:v>
                </c:pt>
                <c:pt idx="1">
                  <c:v>129.4</c:v>
                </c:pt>
                <c:pt idx="2">
                  <c:v>147.30000000000001</c:v>
                </c:pt>
                <c:pt idx="3">
                  <c:v>92.9</c:v>
                </c:pt>
                <c:pt idx="4">
                  <c:v>45.5</c:v>
                </c:pt>
                <c:pt idx="5">
                  <c:v>31.9</c:v>
                </c:pt>
                <c:pt idx="6">
                  <c:v>37.9</c:v>
                </c:pt>
                <c:pt idx="7">
                  <c:v>9.5</c:v>
                </c:pt>
                <c:pt idx="8">
                  <c:v>5.8</c:v>
                </c:pt>
                <c:pt idx="9">
                  <c:v>89.7</c:v>
                </c:pt>
                <c:pt idx="10">
                  <c:v>66.81</c:v>
                </c:pt>
                <c:pt idx="11">
                  <c:v>48.586451014889143</c:v>
                </c:pt>
              </c:numCache>
            </c:numRef>
          </c:val>
        </c:ser>
        <c:ser>
          <c:idx val="2"/>
          <c:order val="2"/>
          <c:tx>
            <c:strRef>
              <c:f>Sheet1!$D$3</c:f>
              <c:strCache>
                <c:ptCount val="1"/>
                <c:pt idx="0">
                  <c:v>Sesudah Periode Adaptasi</c:v>
                </c:pt>
              </c:strCache>
            </c:strRef>
          </c:tx>
          <c:cat>
            <c:strRef>
              <c:f>Sheet1!$A$4:$A$15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rata2</c:v>
                </c:pt>
                <c:pt idx="11">
                  <c:v>SD</c:v>
                </c:pt>
              </c:strCache>
            </c:strRef>
          </c:cat>
          <c:val>
            <c:numRef>
              <c:f>Sheet1!$D$4:$D$15</c:f>
              <c:numCache>
                <c:formatCode>General</c:formatCode>
                <c:ptCount val="12"/>
                <c:pt idx="0">
                  <c:v>13.9</c:v>
                </c:pt>
                <c:pt idx="1">
                  <c:v>39.200000000000003</c:v>
                </c:pt>
                <c:pt idx="2">
                  <c:v>62.8</c:v>
                </c:pt>
                <c:pt idx="3">
                  <c:v>53.1</c:v>
                </c:pt>
                <c:pt idx="4">
                  <c:v>29.2</c:v>
                </c:pt>
                <c:pt idx="5">
                  <c:v>11.7</c:v>
                </c:pt>
                <c:pt idx="6">
                  <c:v>27.5</c:v>
                </c:pt>
                <c:pt idx="7">
                  <c:v>-1</c:v>
                </c:pt>
                <c:pt idx="8">
                  <c:v>4.7</c:v>
                </c:pt>
                <c:pt idx="9">
                  <c:v>7.4</c:v>
                </c:pt>
                <c:pt idx="10">
                  <c:v>24.849999999999994</c:v>
                </c:pt>
                <c:pt idx="11">
                  <c:v>21.452026581291673</c:v>
                </c:pt>
              </c:numCache>
            </c:numRef>
          </c:val>
        </c:ser>
        <c:ser>
          <c:idx val="3"/>
          <c:order val="3"/>
          <c:tx>
            <c:strRef>
              <c:f>Sheet1!$E$3</c:f>
              <c:strCache>
                <c:ptCount val="1"/>
                <c:pt idx="0">
                  <c:v>Sesudah Kacamata dibuka</c:v>
                </c:pt>
              </c:strCache>
            </c:strRef>
          </c:tx>
          <c:cat>
            <c:strRef>
              <c:f>Sheet1!$A$4:$A$15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rata2</c:v>
                </c:pt>
                <c:pt idx="11">
                  <c:v>SD</c:v>
                </c:pt>
              </c:strCache>
            </c:strRef>
          </c:cat>
          <c:val>
            <c:numRef>
              <c:f>Sheet1!$E$4:$E$15</c:f>
              <c:numCache>
                <c:formatCode>General</c:formatCode>
                <c:ptCount val="12"/>
                <c:pt idx="0">
                  <c:v>-49.2</c:v>
                </c:pt>
                <c:pt idx="1">
                  <c:v>-36.700000000000003</c:v>
                </c:pt>
                <c:pt idx="2">
                  <c:v>72.3</c:v>
                </c:pt>
                <c:pt idx="3">
                  <c:v>-29.2</c:v>
                </c:pt>
                <c:pt idx="4">
                  <c:v>-23.3</c:v>
                </c:pt>
                <c:pt idx="5">
                  <c:v>-22</c:v>
                </c:pt>
                <c:pt idx="6">
                  <c:v>-40.700000000000003</c:v>
                </c:pt>
                <c:pt idx="7">
                  <c:v>-21.7</c:v>
                </c:pt>
                <c:pt idx="8">
                  <c:v>-26</c:v>
                </c:pt>
                <c:pt idx="9">
                  <c:v>-15.1</c:v>
                </c:pt>
                <c:pt idx="10">
                  <c:v>-19.16</c:v>
                </c:pt>
                <c:pt idx="11">
                  <c:v>33.722205015554835</c:v>
                </c:pt>
              </c:numCache>
            </c:numRef>
          </c:val>
        </c:ser>
        <c:axId val="85353984"/>
        <c:axId val="85452672"/>
      </c:barChart>
      <c:catAx>
        <c:axId val="85353984"/>
        <c:scaling>
          <c:orientation val="minMax"/>
        </c:scaling>
        <c:axPos val="b"/>
        <c:tickLblPos val="nextTo"/>
        <c:crossAx val="85452672"/>
        <c:crosses val="autoZero"/>
        <c:auto val="1"/>
        <c:lblAlgn val="ctr"/>
        <c:lblOffset val="100"/>
      </c:catAx>
      <c:valAx>
        <c:axId val="85452672"/>
        <c:scaling>
          <c:orientation val="minMax"/>
        </c:scaling>
        <c:axPos val="l"/>
        <c:majorGridlines/>
        <c:numFmt formatCode="General" sourceLinked="1"/>
        <c:tickLblPos val="nextTo"/>
        <c:crossAx val="853539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529037485537713"/>
          <c:y val="0.3717523873345624"/>
          <c:w val="0.30994948040222758"/>
          <c:h val="0.37351650192662134"/>
        </c:manualLayout>
      </c:layout>
    </c:legend>
    <c:plotVisOnly val="1"/>
  </c:chart>
  <c:spPr>
    <a:blipFill>
      <a:blip xmlns:r="http://schemas.openxmlformats.org/officeDocument/2006/relationships" r:embed="rId1"/>
      <a:tile tx="0" ty="0" sx="100000" sy="100000" flip="none" algn="tl"/>
    </a:blipFill>
  </c:spPr>
  <c:txPr>
    <a:bodyPr/>
    <a:lstStyle/>
    <a:p>
      <a:pPr>
        <a:defRPr sz="1200" u="sng" baseline="0">
          <a:solidFill>
            <a:schemeClr val="tx2"/>
          </a:solidFill>
          <a:uFill>
            <a:solidFill>
              <a:schemeClr val="accent3"/>
            </a:solidFill>
          </a:uFill>
          <a:latin typeface="Arial" pitchFamily="34" charset="0"/>
        </a:defRPr>
      </a:pPr>
      <a:endParaRPr lang="id-ID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plotArea>
      <c:layout>
        <c:manualLayout>
          <c:layoutTarget val="inner"/>
          <c:xMode val="edge"/>
          <c:yMode val="edge"/>
          <c:x val="8.4669581047014927E-2"/>
          <c:y val="4.5548798707853798E-2"/>
          <c:w val="0.55290430541322366"/>
          <c:h val="0.90890240258429278"/>
        </c:manualLayout>
      </c:layout>
      <c:barChart>
        <c:barDir val="col"/>
        <c:grouping val="clustered"/>
        <c:ser>
          <c:idx val="0"/>
          <c:order val="0"/>
          <c:tx>
            <c:strRef>
              <c:f>Sheet1!$B$43</c:f>
              <c:strCache>
                <c:ptCount val="1"/>
                <c:pt idx="0">
                  <c:v>Sebelum Kacamata dipakai</c:v>
                </c:pt>
              </c:strCache>
            </c:strRef>
          </c:tx>
          <c:cat>
            <c:strRef>
              <c:f>Sheet1!$A$44:$A$55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rata2</c:v>
                </c:pt>
                <c:pt idx="11">
                  <c:v>SD</c:v>
                </c:pt>
              </c:strCache>
            </c:strRef>
          </c:cat>
          <c:val>
            <c:numRef>
              <c:f>Sheet1!$B$44:$B$55</c:f>
              <c:numCache>
                <c:formatCode>General</c:formatCode>
                <c:ptCount val="12"/>
                <c:pt idx="0">
                  <c:v>13.2</c:v>
                </c:pt>
                <c:pt idx="1">
                  <c:v>-6.4</c:v>
                </c:pt>
                <c:pt idx="2">
                  <c:v>8.1</c:v>
                </c:pt>
                <c:pt idx="3">
                  <c:v>0</c:v>
                </c:pt>
                <c:pt idx="4">
                  <c:v>-0.8</c:v>
                </c:pt>
                <c:pt idx="5">
                  <c:v>-3.5</c:v>
                </c:pt>
                <c:pt idx="6">
                  <c:v>-1.3</c:v>
                </c:pt>
                <c:pt idx="7">
                  <c:v>10.9</c:v>
                </c:pt>
                <c:pt idx="8">
                  <c:v>11.8</c:v>
                </c:pt>
                <c:pt idx="9">
                  <c:v>-2.4</c:v>
                </c:pt>
                <c:pt idx="10">
                  <c:v>3.2888888888888888</c:v>
                </c:pt>
                <c:pt idx="11">
                  <c:v>7.5980991774990088</c:v>
                </c:pt>
              </c:numCache>
            </c:numRef>
          </c:val>
        </c:ser>
        <c:ser>
          <c:idx val="1"/>
          <c:order val="1"/>
          <c:tx>
            <c:strRef>
              <c:f>Sheet1!$C$43</c:f>
              <c:strCache>
                <c:ptCount val="1"/>
                <c:pt idx="0">
                  <c:v>Saat Kacamata dipakai</c:v>
                </c:pt>
              </c:strCache>
            </c:strRef>
          </c:tx>
          <c:cat>
            <c:strRef>
              <c:f>Sheet1!$A$44:$A$55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rata2</c:v>
                </c:pt>
                <c:pt idx="11">
                  <c:v>SD</c:v>
                </c:pt>
              </c:strCache>
            </c:strRef>
          </c:cat>
          <c:val>
            <c:numRef>
              <c:f>Sheet1!$C$44:$C$55</c:f>
              <c:numCache>
                <c:formatCode>General</c:formatCode>
                <c:ptCount val="12"/>
                <c:pt idx="0">
                  <c:v>107.3</c:v>
                </c:pt>
                <c:pt idx="1">
                  <c:v>84.9</c:v>
                </c:pt>
                <c:pt idx="2">
                  <c:v>58.6</c:v>
                </c:pt>
                <c:pt idx="3">
                  <c:v>50.7</c:v>
                </c:pt>
                <c:pt idx="4">
                  <c:v>26.4</c:v>
                </c:pt>
                <c:pt idx="5">
                  <c:v>91.5</c:v>
                </c:pt>
                <c:pt idx="6">
                  <c:v>54.8</c:v>
                </c:pt>
                <c:pt idx="7">
                  <c:v>69.900000000000006</c:v>
                </c:pt>
                <c:pt idx="8">
                  <c:v>94</c:v>
                </c:pt>
                <c:pt idx="9">
                  <c:v>8.5</c:v>
                </c:pt>
                <c:pt idx="10">
                  <c:v>64.66</c:v>
                </c:pt>
                <c:pt idx="11">
                  <c:v>31.239405315153558</c:v>
                </c:pt>
              </c:numCache>
            </c:numRef>
          </c:val>
        </c:ser>
        <c:ser>
          <c:idx val="2"/>
          <c:order val="2"/>
          <c:tx>
            <c:strRef>
              <c:f>Sheet1!$D$43</c:f>
              <c:strCache>
                <c:ptCount val="1"/>
                <c:pt idx="0">
                  <c:v>Sesudah Periode Adaptasi</c:v>
                </c:pt>
              </c:strCache>
            </c:strRef>
          </c:tx>
          <c:cat>
            <c:strRef>
              <c:f>Sheet1!$A$44:$A$55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rata2</c:v>
                </c:pt>
                <c:pt idx="11">
                  <c:v>SD</c:v>
                </c:pt>
              </c:strCache>
            </c:strRef>
          </c:cat>
          <c:val>
            <c:numRef>
              <c:f>Sheet1!$D$44:$D$55</c:f>
              <c:numCache>
                <c:formatCode>General</c:formatCode>
                <c:ptCount val="12"/>
                <c:pt idx="0">
                  <c:v>114.1</c:v>
                </c:pt>
                <c:pt idx="1">
                  <c:v>69.900000000000006</c:v>
                </c:pt>
                <c:pt idx="2">
                  <c:v>60.8</c:v>
                </c:pt>
                <c:pt idx="3">
                  <c:v>22.3</c:v>
                </c:pt>
                <c:pt idx="4">
                  <c:v>7.8</c:v>
                </c:pt>
                <c:pt idx="5">
                  <c:v>15</c:v>
                </c:pt>
                <c:pt idx="6">
                  <c:v>15.8</c:v>
                </c:pt>
                <c:pt idx="7">
                  <c:v>30.1</c:v>
                </c:pt>
                <c:pt idx="8">
                  <c:v>89</c:v>
                </c:pt>
                <c:pt idx="9">
                  <c:v>-38.9</c:v>
                </c:pt>
                <c:pt idx="10">
                  <c:v>38.590000000000011</c:v>
                </c:pt>
                <c:pt idx="11">
                  <c:v>44.823814355020396</c:v>
                </c:pt>
              </c:numCache>
            </c:numRef>
          </c:val>
        </c:ser>
        <c:ser>
          <c:idx val="3"/>
          <c:order val="3"/>
          <c:tx>
            <c:strRef>
              <c:f>Sheet1!$E$43</c:f>
              <c:strCache>
                <c:ptCount val="1"/>
                <c:pt idx="0">
                  <c:v>Sesudah Kacamata dibuka</c:v>
                </c:pt>
              </c:strCache>
            </c:strRef>
          </c:tx>
          <c:cat>
            <c:strRef>
              <c:f>Sheet1!$A$44:$A$55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rata2</c:v>
                </c:pt>
                <c:pt idx="11">
                  <c:v>SD</c:v>
                </c:pt>
              </c:strCache>
            </c:strRef>
          </c:cat>
          <c:val>
            <c:numRef>
              <c:f>Sheet1!$E$44:$E$55</c:f>
              <c:numCache>
                <c:formatCode>General</c:formatCode>
                <c:ptCount val="12"/>
                <c:pt idx="0">
                  <c:v>80</c:v>
                </c:pt>
                <c:pt idx="1">
                  <c:v>-93</c:v>
                </c:pt>
                <c:pt idx="2">
                  <c:v>-8</c:v>
                </c:pt>
                <c:pt idx="3">
                  <c:v>-8.9</c:v>
                </c:pt>
                <c:pt idx="4">
                  <c:v>-13.7</c:v>
                </c:pt>
                <c:pt idx="5">
                  <c:v>-21.6</c:v>
                </c:pt>
                <c:pt idx="6">
                  <c:v>-31.6</c:v>
                </c:pt>
                <c:pt idx="7">
                  <c:v>-28.6</c:v>
                </c:pt>
                <c:pt idx="8">
                  <c:v>0.5</c:v>
                </c:pt>
                <c:pt idx="9">
                  <c:v>12.2</c:v>
                </c:pt>
                <c:pt idx="10">
                  <c:v>-11.270000000000001</c:v>
                </c:pt>
                <c:pt idx="11">
                  <c:v>42.871825765232337</c:v>
                </c:pt>
              </c:numCache>
            </c:numRef>
          </c:val>
        </c:ser>
        <c:axId val="85993728"/>
        <c:axId val="86013056"/>
      </c:barChart>
      <c:catAx>
        <c:axId val="85993728"/>
        <c:scaling>
          <c:orientation val="minMax"/>
        </c:scaling>
        <c:axPos val="b"/>
        <c:tickLblPos val="nextTo"/>
        <c:crossAx val="86013056"/>
        <c:crosses val="autoZero"/>
        <c:auto val="1"/>
        <c:lblAlgn val="ctr"/>
        <c:lblOffset val="100"/>
      </c:catAx>
      <c:valAx>
        <c:axId val="86013056"/>
        <c:scaling>
          <c:orientation val="minMax"/>
        </c:scaling>
        <c:axPos val="l"/>
        <c:majorGridlines/>
        <c:numFmt formatCode="General" sourceLinked="1"/>
        <c:tickLblPos val="nextTo"/>
        <c:crossAx val="859937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006153061180399"/>
          <c:y val="0.35162721582879081"/>
          <c:w val="0.27675889772427564"/>
          <c:h val="0.34597601453664462"/>
        </c:manualLayout>
      </c:layout>
    </c:legend>
    <c:plotVisOnly val="1"/>
  </c:chart>
  <c:spPr>
    <a:blipFill>
      <a:blip xmlns:r="http://schemas.openxmlformats.org/officeDocument/2006/relationships" r:embed="rId1"/>
      <a:tile tx="0" ty="0" sx="100000" sy="100000" flip="none" algn="tl"/>
    </a:blipFill>
  </c:spPr>
  <c:txPr>
    <a:bodyPr/>
    <a:lstStyle/>
    <a:p>
      <a:pPr>
        <a:defRPr sz="1100">
          <a:latin typeface="Arial" pitchFamily="34" charset="0"/>
          <a:cs typeface="Arial" pitchFamily="34" charset="0"/>
        </a:defRPr>
      </a:pPr>
      <a:endParaRPr lang="id-ID"/>
    </a:p>
  </c:txPr>
  <c:externalData r:id="rId2"/>
  <c:userShapes r:id="rId3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0.31301</cdr:x>
      <cdr:y>0.91078</cdr:y>
    </cdr:from>
    <cdr:to>
      <cdr:x>0.67541</cdr:x>
      <cdr:y>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809750" y="3095625"/>
          <a:ext cx="2095238" cy="276190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2011-09-19T10:44:00Z</dcterms:created>
  <dcterms:modified xsi:type="dcterms:W3CDTF">2011-09-19T11:32:00Z</dcterms:modified>
</cp:coreProperties>
</file>