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E1F7F" w:rsidRDefault="00FE1F7F">
      <w:r>
        <w:t>Nick Broadbent</w:t>
      </w:r>
    </w:p>
    <w:p w:rsidR="00FE1F7F" w:rsidRDefault="00FE1F7F">
      <w:r>
        <w:t>Kelsey Lees</w:t>
      </w:r>
    </w:p>
    <w:p w:rsidR="00FE1F7F" w:rsidRDefault="00FE1F7F">
      <w:r>
        <w:t>Tami Reuter</w:t>
      </w:r>
    </w:p>
    <w:p w:rsidR="00FE1F7F" w:rsidRDefault="00FE1F7F">
      <w:r>
        <w:t>Recombinant DNA Technique</w:t>
      </w:r>
    </w:p>
    <w:p w:rsidR="00FE1F7F" w:rsidRDefault="00FE1F7F">
      <w:r>
        <w:t>Fall 2009</w:t>
      </w:r>
    </w:p>
    <w:p w:rsidR="00FE1F7F" w:rsidRDefault="00FE1F7F"/>
    <w:p w:rsidR="00FE1F7F" w:rsidRDefault="00FE1F7F"/>
    <w:p w:rsidR="00FE1F7F" w:rsidRDefault="00FE1F7F" w:rsidP="00FE1F7F">
      <w:pPr>
        <w:jc w:val="center"/>
      </w:pPr>
      <w:r>
        <w:t>Project Proposal</w:t>
      </w:r>
    </w:p>
    <w:p w:rsidR="00FE1F7F" w:rsidRDefault="00FE1F7F" w:rsidP="00FE1F7F">
      <w:pPr>
        <w:jc w:val="center"/>
      </w:pPr>
    </w:p>
    <w:p w:rsidR="00FE1F7F" w:rsidRDefault="00FE1F7F" w:rsidP="00FE1F7F">
      <w:pPr>
        <w:jc w:val="center"/>
      </w:pPr>
    </w:p>
    <w:p w:rsidR="00CC08BB" w:rsidRPr="003A53D9" w:rsidRDefault="00FE1F7F" w:rsidP="00FE1F7F">
      <w:pPr>
        <w:spacing w:before="240" w:line="480" w:lineRule="auto"/>
      </w:pPr>
      <w:r>
        <w:tab/>
        <w:t xml:space="preserve">Our objective is to construct a system </w:t>
      </w:r>
      <w:r w:rsidR="003A53D9">
        <w:t xml:space="preserve">containing the </w:t>
      </w:r>
      <w:r w:rsidR="003A53D9">
        <w:rPr>
          <w:i/>
        </w:rPr>
        <w:t xml:space="preserve">Fragaria x ananassa </w:t>
      </w:r>
      <w:r w:rsidR="003A53D9">
        <w:t>quinone oxireductase gene (</w:t>
      </w:r>
      <w:r w:rsidR="003A53D9">
        <w:rPr>
          <w:i/>
        </w:rPr>
        <w:t>FaQR</w:t>
      </w:r>
      <w:r w:rsidR="003A53D9">
        <w:t>) gene that is testable through a green fluorescent protein (</w:t>
      </w:r>
      <w:r w:rsidR="003A53D9" w:rsidRPr="003A53D9">
        <w:t>GFP</w:t>
      </w:r>
      <w:r w:rsidR="003A53D9">
        <w:t>) marker.  Our second objective is to create a system containing the Strawberry alcohol acyltransferase gene (</w:t>
      </w:r>
      <w:r w:rsidR="003A53D9">
        <w:rPr>
          <w:i/>
        </w:rPr>
        <w:t>SAAT</w:t>
      </w:r>
      <w:r w:rsidR="003A53D9">
        <w:t>) testable through scent or gas chromatography.</w:t>
      </w:r>
    </w:p>
    <w:p w:rsidR="00CC08BB" w:rsidRDefault="00CC08BB" w:rsidP="00FE1F7F">
      <w:pPr>
        <w:spacing w:before="240" w:line="480" w:lineRule="auto"/>
      </w:pPr>
      <w:r>
        <w:tab/>
        <w:t>Strawberry scent is a combination of linalool, nerolidol, 4-hydroxy-2,5-dimethyl-3(2H)-furano</w:t>
      </w:r>
      <w:r w:rsidR="003A53D9">
        <w:t xml:space="preserve">ne (HDMF) and other terpenes.  </w:t>
      </w:r>
      <w:r>
        <w:rPr>
          <w:i/>
        </w:rPr>
        <w:t>FaQR</w:t>
      </w:r>
      <w:r w:rsidR="003A53D9">
        <w:t xml:space="preserve"> synthesizes</w:t>
      </w:r>
      <w:r>
        <w:t xml:space="preserve"> HDMF from 4-hydroxy-5-monomethyl-2-methylene-3(2H)-fu</w:t>
      </w:r>
      <w:r w:rsidR="003A53D9">
        <w:t>ranone (HMMF)</w:t>
      </w:r>
      <w:r w:rsidR="00BB14F4">
        <w:t xml:space="preserve"> (Figure 1)</w:t>
      </w:r>
      <w:r w:rsidR="003A53D9">
        <w:t>.  HMMF is produced</w:t>
      </w:r>
      <w:r>
        <w:t xml:space="preserve"> biochemically from d-fructose-1,6-diphosphate.  The </w:t>
      </w:r>
      <w:r w:rsidR="009033FA">
        <w:t xml:space="preserve">biochemical </w:t>
      </w:r>
      <w:r>
        <w:t>pathway is unknown</w:t>
      </w:r>
      <w:r w:rsidR="009033FA">
        <w:t>, therefore HMMF is not av</w:t>
      </w:r>
      <w:r w:rsidR="003A53D9">
        <w:t>ailable.</w:t>
      </w:r>
    </w:p>
    <w:p w:rsidR="00FE1F7F" w:rsidRPr="00CC08BB" w:rsidRDefault="00CC08BB" w:rsidP="00FE1F7F">
      <w:pPr>
        <w:spacing w:before="240" w:line="480" w:lineRule="auto"/>
      </w:pPr>
      <w:r>
        <w:tab/>
      </w:r>
      <w:r w:rsidR="003A53D9">
        <w:rPr>
          <w:i/>
        </w:rPr>
        <w:t xml:space="preserve">SAAT </w:t>
      </w:r>
      <w:r w:rsidR="00DC1EBD">
        <w:t>causes the formation of fruity esters.  It completes a transacylation from acyl-CoA to alcohols.</w:t>
      </w:r>
      <w:r w:rsidR="005254A3">
        <w:t xml:space="preserve"> </w:t>
      </w:r>
      <w:r w:rsidR="005254A3">
        <w:rPr>
          <w:i/>
        </w:rPr>
        <w:t xml:space="preserve">FaQR </w:t>
      </w:r>
      <w:r w:rsidR="005254A3">
        <w:t xml:space="preserve">experiments will be completed before </w:t>
      </w:r>
      <w:r w:rsidR="005254A3">
        <w:rPr>
          <w:i/>
        </w:rPr>
        <w:t>SAAT.</w:t>
      </w:r>
    </w:p>
    <w:p w:rsidR="00A832F4" w:rsidRPr="00CC08BB" w:rsidRDefault="00A832F4" w:rsidP="00FE1F7F">
      <w:pPr>
        <w:spacing w:before="240" w:line="480" w:lineRule="auto"/>
        <w:rPr>
          <w:i/>
        </w:rPr>
      </w:pPr>
      <w:r>
        <w:tab/>
        <w:t xml:space="preserve">The </w:t>
      </w:r>
      <w:r w:rsidR="00CC08BB">
        <w:rPr>
          <w:i/>
        </w:rPr>
        <w:t>FaQR</w:t>
      </w:r>
      <w:r>
        <w:t xml:space="preserve"> (DNA accession number AY158836; mRNA accession number AY048861) and the strawberry alcohol acyltransferase gene (</w:t>
      </w:r>
      <w:r>
        <w:rPr>
          <w:i/>
        </w:rPr>
        <w:t>SAAT</w:t>
      </w:r>
      <w:r>
        <w:t>; mRNA accession</w:t>
      </w:r>
      <w:r w:rsidR="005254A3">
        <w:t xml:space="preserve"> number AF193789) will be used.  </w:t>
      </w:r>
      <w:r w:rsidR="00D2168C">
        <w:t>The following biobricks will be used: a</w:t>
      </w:r>
      <w:r w:rsidR="005254A3">
        <w:t xml:space="preserve"> tetracycline </w:t>
      </w:r>
      <w:r w:rsidR="009033FA">
        <w:t xml:space="preserve">repressible </w:t>
      </w:r>
      <w:r w:rsidR="005254A3">
        <w:t>promotor (BBa_R0040</w:t>
      </w:r>
      <w:r w:rsidR="00CC137D">
        <w:t>)</w:t>
      </w:r>
      <w:r w:rsidR="009033FA">
        <w:t>, an inducible pBad/araC promotor (BBa_I0500)</w:t>
      </w:r>
      <w:r w:rsidR="00D2168C">
        <w:t xml:space="preserve"> and a </w:t>
      </w:r>
      <w:r w:rsidR="00CC137D">
        <w:t>green fluorescent p</w:t>
      </w:r>
      <w:r w:rsidR="00D2168C">
        <w:t>rotein (BBa_E0040).</w:t>
      </w:r>
    </w:p>
    <w:p w:rsidR="00DC1EBD" w:rsidRPr="009033FA" w:rsidRDefault="00FE1F7F" w:rsidP="00A34459">
      <w:pPr>
        <w:spacing w:before="240" w:line="480" w:lineRule="auto"/>
      </w:pPr>
      <w:r>
        <w:tab/>
        <w:t xml:space="preserve">DNA will be extracted from </w:t>
      </w:r>
      <w:r>
        <w:rPr>
          <w:i/>
        </w:rPr>
        <w:t>Fragaria x ananassa</w:t>
      </w:r>
      <w:r>
        <w:t xml:space="preserve"> (Weston) Duchesne </w:t>
      </w:r>
      <w:r>
        <w:rPr>
          <w:i/>
        </w:rPr>
        <w:t xml:space="preserve">ex </w:t>
      </w:r>
      <w:r>
        <w:t>Rozier tissue</w:t>
      </w:r>
      <w:r w:rsidR="00A832F4">
        <w:t xml:space="preserve"> (fruit or leaves)</w:t>
      </w:r>
      <w:r w:rsidR="003A53D9">
        <w:t xml:space="preserve"> using protocol from Mercado </w:t>
      </w:r>
      <w:r w:rsidR="003A53D9">
        <w:rPr>
          <w:i/>
        </w:rPr>
        <w:t xml:space="preserve">et al </w:t>
      </w:r>
      <w:r w:rsidR="003A53D9">
        <w:t>(1999)</w:t>
      </w:r>
      <w:r w:rsidR="00A34459">
        <w:t xml:space="preserve">.  The </w:t>
      </w:r>
      <w:r w:rsidR="00A34459">
        <w:rPr>
          <w:i/>
        </w:rPr>
        <w:t xml:space="preserve">FaQR </w:t>
      </w:r>
      <w:r w:rsidR="00A34459">
        <w:t xml:space="preserve"> gene region will be amplified through a polymerase chain reaction </w:t>
      </w:r>
      <w:r w:rsidR="00A832F4">
        <w:t>(PCR)</w:t>
      </w:r>
      <w:r w:rsidR="00A34459">
        <w:t xml:space="preserve"> </w:t>
      </w:r>
      <w:r w:rsidR="00A832F4">
        <w:t>using template jump PCR to remove introns or will be ampli</w:t>
      </w:r>
      <w:r w:rsidR="00502713">
        <w:t>fi</w:t>
      </w:r>
      <w:r w:rsidR="00A832F4">
        <w:t>ed using mRNA</w:t>
      </w:r>
      <w:r w:rsidR="009A297E">
        <w:t xml:space="preserve"> utilizing the protocols of Kiefer </w:t>
      </w:r>
      <w:r w:rsidR="009A297E">
        <w:rPr>
          <w:i/>
        </w:rPr>
        <w:t>et al</w:t>
      </w:r>
      <w:r w:rsidR="009A297E">
        <w:t xml:space="preserve"> (2008)</w:t>
      </w:r>
      <w:r w:rsidR="00A832F4">
        <w:t xml:space="preserve">. </w:t>
      </w:r>
      <w:r w:rsidR="00502713">
        <w:t>The mRNA PCR products will be made into</w:t>
      </w:r>
      <w:r w:rsidR="003A53D9">
        <w:t xml:space="preserve"> DNA using reverse transcript</w:t>
      </w:r>
      <w:r w:rsidR="00502713">
        <w:t xml:space="preserve">ase.  PCR DNA products </w:t>
      </w:r>
      <w:r w:rsidR="00DC1EBD">
        <w:t xml:space="preserve">will be run an </w:t>
      </w:r>
      <w:r w:rsidR="00502713">
        <w:t xml:space="preserve">agarose gel.  Bands will </w:t>
      </w:r>
      <w:r w:rsidR="003A53D9">
        <w:t xml:space="preserve">be </w:t>
      </w:r>
      <w:r w:rsidR="00502713">
        <w:t>cut out of the gel and purified.</w:t>
      </w:r>
      <w:r w:rsidR="00A34459">
        <w:t xml:space="preserve">  </w:t>
      </w:r>
      <w:r w:rsidR="00A34459">
        <w:rPr>
          <w:i/>
        </w:rPr>
        <w:t xml:space="preserve">FaQR </w:t>
      </w:r>
      <w:r w:rsidR="003A53D9">
        <w:t>will be fused in between</w:t>
      </w:r>
      <w:r w:rsidR="00A34459">
        <w:t xml:space="preserve"> </w:t>
      </w:r>
      <w:r w:rsidR="00CC137D">
        <w:t xml:space="preserve">a </w:t>
      </w:r>
      <w:r w:rsidR="005254A3">
        <w:t>tetracycline promotor</w:t>
      </w:r>
      <w:r w:rsidR="00A34459">
        <w:t xml:space="preserve"> and </w:t>
      </w:r>
      <w:r w:rsidR="00A34459" w:rsidRPr="009033FA">
        <w:rPr>
          <w:i/>
        </w:rPr>
        <w:t>GFP</w:t>
      </w:r>
      <w:r w:rsidR="009A297E">
        <w:rPr>
          <w:i/>
        </w:rPr>
        <w:t xml:space="preserve"> </w:t>
      </w:r>
      <w:r w:rsidR="00BB14F4">
        <w:t>(figure 2</w:t>
      </w:r>
      <w:r w:rsidR="009A297E">
        <w:t>)</w:t>
      </w:r>
      <w:r w:rsidR="00A34459">
        <w:t xml:space="preserve">, then </w:t>
      </w:r>
      <w:r w:rsidR="00CC137D">
        <w:t xml:space="preserve">put </w:t>
      </w:r>
      <w:r w:rsidR="00502713">
        <w:t>into a plasmid</w:t>
      </w:r>
      <w:r w:rsidR="00A34459">
        <w:t xml:space="preserve"> and </w:t>
      </w:r>
      <w:r w:rsidR="00502713">
        <w:t xml:space="preserve">used as a vector </w:t>
      </w:r>
      <w:r w:rsidR="00A34459">
        <w:t xml:space="preserve">for </w:t>
      </w:r>
      <w:r w:rsidR="00502713">
        <w:rPr>
          <w:i/>
        </w:rPr>
        <w:t>E. coli.</w:t>
      </w:r>
      <w:r w:rsidR="009033FA">
        <w:rPr>
          <w:i/>
        </w:rPr>
        <w:t xml:space="preserve">  </w:t>
      </w:r>
      <w:r w:rsidR="009033FA">
        <w:t xml:space="preserve">The system will be tested through use of the </w:t>
      </w:r>
      <w:r w:rsidR="009033FA">
        <w:rPr>
          <w:i/>
        </w:rPr>
        <w:t xml:space="preserve">GFP </w:t>
      </w:r>
      <w:r w:rsidR="009033FA">
        <w:t>region.  Fluorescence will be detectable after 8 minutes.</w:t>
      </w:r>
    </w:p>
    <w:p w:rsidR="00DC1EBD" w:rsidRPr="00387301" w:rsidRDefault="00DC1EBD" w:rsidP="00DC1EBD">
      <w:pPr>
        <w:spacing w:before="240" w:line="480" w:lineRule="auto"/>
        <w:ind w:firstLine="720"/>
      </w:pPr>
      <w:r>
        <w:t xml:space="preserve">If time permits, </w:t>
      </w:r>
      <w:r>
        <w:rPr>
          <w:i/>
        </w:rPr>
        <w:t xml:space="preserve">SAAT </w:t>
      </w:r>
      <w:r>
        <w:t xml:space="preserve">will be analyzed.  The </w:t>
      </w:r>
      <w:r>
        <w:rPr>
          <w:i/>
        </w:rPr>
        <w:t xml:space="preserve">SAAT </w:t>
      </w:r>
      <w:r>
        <w:t>region will be amplified using mRNA, as the only available sequence is mRNA.  The PCR product will be made into</w:t>
      </w:r>
      <w:r w:rsidR="003A53D9">
        <w:t xml:space="preserve"> DNA using reverse transcript</w:t>
      </w:r>
      <w:r>
        <w:t>ase, run on a gel and purified.</w:t>
      </w:r>
      <w:r w:rsidR="00387301">
        <w:t xml:space="preserve">  </w:t>
      </w:r>
      <w:r w:rsidR="005254A3">
        <w:t>T</w:t>
      </w:r>
      <w:r w:rsidR="009033FA">
        <w:t xml:space="preserve">wo </w:t>
      </w:r>
      <w:r w:rsidR="005254A3">
        <w:t xml:space="preserve">promotors will be used with </w:t>
      </w:r>
      <w:r w:rsidR="005254A3">
        <w:rPr>
          <w:i/>
        </w:rPr>
        <w:t xml:space="preserve">SAAT: </w:t>
      </w:r>
      <w:r w:rsidR="005254A3">
        <w:t>a tetracycline</w:t>
      </w:r>
      <w:r w:rsidR="009033FA">
        <w:t xml:space="preserve"> and an arabinose.</w:t>
      </w:r>
      <w:r w:rsidR="005254A3">
        <w:t xml:space="preserve">  </w:t>
      </w:r>
      <w:r w:rsidR="00387301">
        <w:t xml:space="preserve">The gene will be inserted into a plasmid, then into </w:t>
      </w:r>
      <w:r w:rsidR="00387301">
        <w:rPr>
          <w:i/>
        </w:rPr>
        <w:t xml:space="preserve">E. coli.  </w:t>
      </w:r>
      <w:r w:rsidR="00387301">
        <w:t>The bacteria will be g</w:t>
      </w:r>
      <w:r w:rsidR="00D2168C">
        <w:t xml:space="preserve">rown in </w:t>
      </w:r>
      <w:r w:rsidR="00387301">
        <w:t>gradient mediums</w:t>
      </w:r>
      <w:r w:rsidR="00D2168C">
        <w:t xml:space="preserve"> containing</w:t>
      </w:r>
      <w:r w:rsidR="009033FA">
        <w:t xml:space="preserve"> the specific promotors inducer and</w:t>
      </w:r>
      <w:r w:rsidR="00D2168C">
        <w:t xml:space="preserve"> Acyl-CoA</w:t>
      </w:r>
      <w:r w:rsidR="00387301">
        <w:t>.</w:t>
      </w:r>
    </w:p>
    <w:p w:rsidR="009A297E" w:rsidRDefault="00DC1EBD" w:rsidP="009033FA">
      <w:pPr>
        <w:spacing w:before="240" w:line="480" w:lineRule="auto"/>
        <w:ind w:firstLine="720"/>
      </w:pPr>
      <w:r>
        <w:t xml:space="preserve">The </w:t>
      </w:r>
      <w:r>
        <w:rPr>
          <w:i/>
        </w:rPr>
        <w:t xml:space="preserve">SAAT </w:t>
      </w:r>
      <w:r>
        <w:t>experiments will be tested using scent.  Twenty-five individuals will smell the plates.  If the majority of individuals smell strawberries, the experiment will be considered a success.  Experiments will also be tested using gas chromatography.</w:t>
      </w:r>
    </w:p>
    <w:p w:rsidR="00BB14F4" w:rsidRDefault="00BB14F4" w:rsidP="00BB14F4">
      <w:pPr>
        <w:spacing w:before="240" w:line="480" w:lineRule="auto"/>
      </w:pPr>
      <w:r>
        <w:rPr>
          <w:noProof/>
        </w:rPr>
        <w:drawing>
          <wp:inline distT="0" distB="0" distL="0" distR="0">
            <wp:extent cx="3855720" cy="3528603"/>
            <wp:effectExtent l="2540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108" cy="353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4F4" w:rsidRDefault="00BB14F4" w:rsidP="00BB14F4">
      <w:pPr>
        <w:spacing w:before="240" w:line="480" w:lineRule="auto"/>
      </w:pPr>
      <w:r>
        <w:t xml:space="preserve">Figure 1. Transformation from HMMF to HDMF via the </w:t>
      </w:r>
      <w:r w:rsidRPr="009F25D7">
        <w:rPr>
          <w:i/>
        </w:rPr>
        <w:t>FaQR</w:t>
      </w:r>
      <w:r>
        <w:t xml:space="preserve"> pathway. </w:t>
      </w:r>
    </w:p>
    <w:p w:rsidR="00BB14F4" w:rsidRDefault="00BB14F4" w:rsidP="00BB14F4">
      <w:pPr>
        <w:spacing w:before="240" w:line="480" w:lineRule="auto"/>
      </w:pPr>
      <w:r w:rsidRPr="00BB14F4">
        <w:rPr>
          <w:noProof/>
        </w:rPr>
        <w:drawing>
          <wp:inline distT="0" distB="0" distL="0" distR="0">
            <wp:extent cx="6084570" cy="61722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27571" cy="707886"/>
                      <a:chOff x="152400" y="2514600"/>
                      <a:chExt cx="8527571" cy="707886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152400" y="2514600"/>
                        <a:ext cx="1676400" cy="685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Rectangle 4"/>
                      <a:cNvSpPr/>
                    </a:nvSpPr>
                    <a:spPr>
                      <a:xfrm>
                        <a:off x="1981200" y="2514600"/>
                        <a:ext cx="3505200" cy="685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5867400" y="2514600"/>
                        <a:ext cx="2514600" cy="685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0" name="Straight Connector 9"/>
                      <a:cNvCxnSpPr>
                        <a:stCxn id="4" idx="3"/>
                        <a:endCxn id="5" idx="1"/>
                      </a:cNvCxnSpPr>
                    </a:nvCxnSpPr>
                    <a:spPr>
                      <a:xfrm>
                        <a:off x="1828800" y="2857500"/>
                        <a:ext cx="152400" cy="0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Straight Connector 11"/>
                      <a:cNvCxnSpPr>
                        <a:stCxn id="5" idx="3"/>
                        <a:endCxn id="8" idx="1"/>
                      </a:cNvCxnSpPr>
                    </a:nvCxnSpPr>
                    <a:spPr>
                      <a:xfrm>
                        <a:off x="5486400" y="2857500"/>
                        <a:ext cx="381000" cy="0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228600" y="2590800"/>
                        <a:ext cx="160020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200" b="1" dirty="0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(R0040) </a:t>
                          </a:r>
                          <a:r>
                            <a:rPr lang="en-US" sz="1200" b="1" dirty="0" err="1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TetR</a:t>
                          </a:r>
                          <a:r>
                            <a:rPr lang="en-US" sz="1200" b="1" dirty="0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1200" b="1" dirty="0" err="1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Repressable</a:t>
                          </a:r>
                          <a:r>
                            <a:rPr lang="en-US" sz="1200" b="1" dirty="0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 </a:t>
                          </a:r>
                          <a:r>
                            <a:rPr lang="en-US" sz="1200" b="1" dirty="0" err="1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rPr>
                            <a:t>Promotor</a:t>
                          </a:r>
                          <a:endParaRPr lang="en-US" sz="1200" b="1" cap="none" spc="0" dirty="0">
                            <a:ln w="10541" cmpd="sng">
                              <a:solidFill>
                                <a:srgbClr val="7D7D7D">
                                  <a:tint val="100000"/>
                                  <a:shade val="100000"/>
                                  <a:satMod val="110000"/>
                                </a:srgbClr>
                              </a:solidFill>
                              <a:prstDash val="solid"/>
                            </a:ln>
                            <a:solidFill>
                              <a:schemeClr val="bg1">
                                <a:lumMod val="95000"/>
                              </a:schemeClr>
                            </a:solidFill>
                            <a:effectLst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2514600" y="2514600"/>
                        <a:ext cx="2592761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4000" b="1" spc="50" dirty="0" err="1" smtClean="0">
                              <a:ln w="13500">
                                <a:solidFill>
                                  <a:schemeClr val="accent1">
                                    <a:shade val="2500"/>
                                    <a:alpha val="65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accent1">
                                  <a:tint val="3000"/>
                                  <a:alpha val="95000"/>
                                </a:schemeClr>
                              </a:solidFill>
                              <a:effectLst>
                                <a:innerShdw blurRad="50900" dist="38500" dir="13500000">
                                  <a:srgbClr val="000000">
                                    <a:alpha val="60000"/>
                                  </a:srgbClr>
                                </a:innerShdw>
                              </a:effectLst>
                            </a:rPr>
                            <a:t>FaQR</a:t>
                          </a:r>
                          <a:r>
                            <a:rPr lang="en-US" sz="4000" b="1" spc="50" dirty="0" smtClean="0">
                              <a:ln w="13500">
                                <a:solidFill>
                                  <a:schemeClr val="accent1">
                                    <a:shade val="2500"/>
                                    <a:alpha val="6500"/>
                                  </a:schemeClr>
                                </a:solidFill>
                                <a:prstDash val="solid"/>
                              </a:ln>
                              <a:solidFill>
                                <a:schemeClr val="accent1">
                                  <a:tint val="3000"/>
                                  <a:alpha val="95000"/>
                                </a:schemeClr>
                              </a:solidFill>
                              <a:effectLst>
                                <a:innerShdw blurRad="50900" dist="38500" dir="13500000">
                                  <a:srgbClr val="000000">
                                    <a:alpha val="60000"/>
                                  </a:srgbClr>
                                </a:innerShdw>
                              </a:effectLst>
                            </a:rPr>
                            <a:t> Gene</a:t>
                          </a:r>
                          <a:endParaRPr lang="en-US" sz="4000" b="1" cap="none" spc="50" dirty="0">
                            <a:ln w="13500">
                              <a:solidFill>
                                <a:schemeClr val="accent1">
                                  <a:shade val="2500"/>
                                  <a:alpha val="6500"/>
                                </a:schemeClr>
                              </a:solidFill>
                              <a:prstDash val="solid"/>
                            </a:ln>
                            <a:solidFill>
                              <a:schemeClr val="accent1">
                                <a:tint val="3000"/>
                                <a:alpha val="95000"/>
                              </a:schemeClr>
                            </a:solidFill>
                            <a:effectLst>
                              <a:innerShdw blurRad="50900" dist="38500" dir="13500000">
                                <a:srgbClr val="000000">
                                  <a:alpha val="60000"/>
                                </a:srgbClr>
                              </a:inn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Rectangle 22"/>
                      <a:cNvSpPr/>
                    </a:nvSpPr>
                    <a:spPr>
                      <a:xfrm>
                        <a:off x="5562600" y="2514600"/>
                        <a:ext cx="3117371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3200" b="1" cap="none" spc="0" dirty="0" smtClean="0">
                              <a:ln w="10541" cmpd="sng">
                                <a:solidFill>
                                  <a:srgbClr val="7D7D7D">
                                    <a:tint val="100000"/>
                                    <a:shade val="100000"/>
                                    <a:satMod val="110000"/>
                                  </a:srgbClr>
                                </a:solidFill>
                                <a:prstDash val="solid"/>
                              </a:ln>
                              <a:gradFill>
                                <a:gsLst>
                                  <a:gs pos="0">
                                    <a:srgbClr val="FFFFFF">
                                      <a:tint val="40000"/>
                                      <a:satMod val="250000"/>
                                    </a:srgbClr>
                                  </a:gs>
                                  <a:gs pos="9000">
                                    <a:srgbClr val="FFFFFF">
                                      <a:tint val="52000"/>
                                      <a:satMod val="300000"/>
                                    </a:srgbClr>
                                  </a:gs>
                                  <a:gs pos="50000">
                                    <a:srgbClr val="FFFFFF">
                                      <a:shade val="20000"/>
                                      <a:satMod val="300000"/>
                                    </a:srgbClr>
                                  </a:gs>
                                  <a:gs pos="79000">
                                    <a:srgbClr val="FFFFFF">
                                      <a:tint val="52000"/>
                                      <a:satMod val="300000"/>
                                    </a:srgbClr>
                                  </a:gs>
                                  <a:gs pos="100000">
                                    <a:srgbClr val="FFFFFF">
                                      <a:tint val="40000"/>
                                      <a:satMod val="250000"/>
                                    </a:srgbClr>
                                  </a:gs>
                                </a:gsLst>
                                <a:lin ang="5400000"/>
                              </a:gradFill>
                              <a:effectLst/>
                            </a:rPr>
                            <a:t>(E0040) GFP</a:t>
                          </a:r>
                          <a:endParaRPr lang="en-US" sz="3200" b="1" cap="none" spc="0" dirty="0">
                            <a:ln w="10541" cmpd="sng">
                              <a:solidFill>
                                <a:srgbClr val="7D7D7D">
                                  <a:tint val="100000"/>
                                  <a:shade val="100000"/>
                                  <a:satMod val="110000"/>
                                </a:srgbClr>
                              </a:solidFill>
                              <a:prstDash val="solid"/>
                            </a:ln>
                            <a:gradFill>
                              <a:gsLst>
                                <a:gs pos="0">
                                  <a:srgbClr val="FFFFFF">
                                    <a:tint val="40000"/>
                                    <a:satMod val="250000"/>
                                  </a:srgbClr>
                                </a:gs>
                                <a:gs pos="9000">
                                  <a:srgbClr val="FFFFFF">
                                    <a:tint val="52000"/>
                                    <a:satMod val="300000"/>
                                  </a:srgbClr>
                                </a:gs>
                                <a:gs pos="50000">
                                  <a:srgbClr val="FFFFFF">
                                    <a:shade val="20000"/>
                                    <a:satMod val="300000"/>
                                  </a:srgbClr>
                                </a:gs>
                                <a:gs pos="79000">
                                  <a:srgbClr val="FFFFFF">
                                    <a:tint val="52000"/>
                                    <a:satMod val="300000"/>
                                  </a:srgbClr>
                                </a:gs>
                                <a:gs pos="100000">
                                  <a:srgbClr val="FFFFFF">
                                    <a:tint val="40000"/>
                                    <a:satMod val="250000"/>
                                  </a:srgbClr>
                                </a:gs>
                              </a:gsLst>
                              <a:lin ang="5400000"/>
                            </a:gradFill>
                            <a:effectLst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B14F4" w:rsidRDefault="00BB14F4" w:rsidP="00BB14F4">
      <w:pPr>
        <w:spacing w:before="240" w:line="480" w:lineRule="auto"/>
        <w:rPr>
          <w:i/>
        </w:rPr>
      </w:pPr>
      <w:r>
        <w:t>Figure 2</w:t>
      </w:r>
      <w:r w:rsidR="009A297E">
        <w:t xml:space="preserve">.  Device:  Fusion of a tetracycline repressible promotor, </w:t>
      </w:r>
      <w:r w:rsidR="009A297E">
        <w:rPr>
          <w:i/>
        </w:rPr>
        <w:t>FaQR</w:t>
      </w:r>
      <w:r w:rsidR="009A297E">
        <w:t xml:space="preserve"> and </w:t>
      </w:r>
      <w:r w:rsidR="009A297E">
        <w:rPr>
          <w:i/>
        </w:rPr>
        <w:t>GFP.</w:t>
      </w:r>
    </w:p>
    <w:p w:rsidR="00BB14F4" w:rsidRDefault="00BB14F4" w:rsidP="00BB14F4">
      <w:pPr>
        <w:spacing w:before="240" w:line="480" w:lineRule="auto"/>
        <w:rPr>
          <w:i/>
        </w:rPr>
      </w:pPr>
    </w:p>
    <w:p w:rsidR="00BB14F4" w:rsidRDefault="00BB14F4" w:rsidP="00BB14F4">
      <w:pPr>
        <w:spacing w:before="240" w:line="480" w:lineRule="auto"/>
        <w:rPr>
          <w:i/>
        </w:rPr>
      </w:pPr>
    </w:p>
    <w:p w:rsidR="00FE1F7F" w:rsidRDefault="00FE1F7F" w:rsidP="00BB14F4">
      <w:pPr>
        <w:spacing w:before="240" w:line="480" w:lineRule="auto"/>
      </w:pPr>
      <w:r>
        <w:br w:type="page"/>
        <w:t>REFERENCES</w:t>
      </w:r>
    </w:p>
    <w:p w:rsidR="00FE1F7F" w:rsidRDefault="00502713" w:rsidP="00DC1EBD">
      <w:pPr>
        <w:spacing w:before="240"/>
      </w:pPr>
      <w:r>
        <w:t>Aharoni</w:t>
      </w:r>
      <w:r w:rsidR="00FE1F7F">
        <w:t>, A., A.P. Giri, F.W.A. Verstappen, C.M. Bertea, R. Sevenier, Z. Sun, M.A</w:t>
      </w:r>
    </w:p>
    <w:p w:rsidR="00FE1F7F" w:rsidRDefault="00FE1F7F" w:rsidP="00DC1EBD">
      <w:pPr>
        <w:spacing w:before="240"/>
        <w:ind w:firstLine="720"/>
      </w:pPr>
      <w:r>
        <w:t>Jongsma,W. Schwab, and H.J. Bouwmeester.  Gain and Loss of Fruit Flavor</w:t>
      </w:r>
    </w:p>
    <w:p w:rsidR="00FE1F7F" w:rsidRDefault="00FE1F7F" w:rsidP="00DC1EBD">
      <w:pPr>
        <w:spacing w:before="240"/>
        <w:ind w:firstLine="720"/>
        <w:rPr>
          <w:i/>
        </w:rPr>
      </w:pPr>
      <w:r>
        <w:t xml:space="preserve">Compounds Produced by Wild and Cultivated Strawberry Species.  </w:t>
      </w:r>
      <w:r>
        <w:rPr>
          <w:i/>
        </w:rPr>
        <w:t>The Plant</w:t>
      </w:r>
    </w:p>
    <w:p w:rsidR="009033FA" w:rsidRDefault="00FE1F7F" w:rsidP="00DC1EBD">
      <w:pPr>
        <w:spacing w:before="240"/>
        <w:ind w:firstLine="720"/>
      </w:pPr>
      <w:r>
        <w:rPr>
          <w:i/>
        </w:rPr>
        <w:t xml:space="preserve">Cell </w:t>
      </w:r>
      <w:r>
        <w:t>16: 3110-3131.</w:t>
      </w:r>
    </w:p>
    <w:p w:rsidR="009033FA" w:rsidRDefault="009033FA" w:rsidP="009033FA">
      <w:pPr>
        <w:spacing w:before="240"/>
      </w:pPr>
    </w:p>
    <w:p w:rsidR="009033FA" w:rsidRDefault="009033FA" w:rsidP="009033FA">
      <w:pPr>
        <w:spacing w:before="240"/>
      </w:pPr>
      <w:r>
        <w:t>Elowitz, M.B. and S. Leibler.  2000.  A Synthetic Oscillatory Network of</w:t>
      </w:r>
    </w:p>
    <w:p w:rsidR="00502713" w:rsidRPr="009033FA" w:rsidRDefault="009033FA" w:rsidP="009033FA">
      <w:pPr>
        <w:spacing w:before="240"/>
        <w:ind w:firstLine="720"/>
      </w:pPr>
      <w:r>
        <w:t xml:space="preserve">Transcriptional Regulators.  </w:t>
      </w:r>
      <w:r>
        <w:rPr>
          <w:i/>
        </w:rPr>
        <w:t xml:space="preserve">Letters to Nature </w:t>
      </w:r>
      <w:r>
        <w:t>403: 335-338.</w:t>
      </w:r>
    </w:p>
    <w:p w:rsidR="009A297E" w:rsidRDefault="009A297E" w:rsidP="00DC1EBD">
      <w:pPr>
        <w:spacing w:before="240"/>
      </w:pPr>
    </w:p>
    <w:p w:rsidR="009A297E" w:rsidRDefault="009A297E" w:rsidP="00DC1EBD">
      <w:pPr>
        <w:spacing w:before="240"/>
      </w:pPr>
      <w:r>
        <w:t>Kiefer, E., W. Heller and D. Ernst.  2008.  A Simple and Efficient Protocol for Isolation</w:t>
      </w:r>
    </w:p>
    <w:p w:rsidR="009A297E" w:rsidRDefault="009A297E" w:rsidP="009A297E">
      <w:pPr>
        <w:spacing w:before="240"/>
        <w:ind w:firstLine="720"/>
        <w:rPr>
          <w:i/>
        </w:rPr>
      </w:pPr>
      <w:r>
        <w:t xml:space="preserve">of Functional RNA from Plant Tissues Rich in Secondary Metabolites.  </w:t>
      </w:r>
      <w:r>
        <w:rPr>
          <w:i/>
        </w:rPr>
        <w:t>Plant</w:t>
      </w:r>
    </w:p>
    <w:p w:rsidR="009A297E" w:rsidRPr="009A297E" w:rsidRDefault="009A297E" w:rsidP="009A297E">
      <w:pPr>
        <w:spacing w:before="240"/>
        <w:ind w:firstLine="720"/>
      </w:pPr>
      <w:r>
        <w:rPr>
          <w:i/>
        </w:rPr>
        <w:t xml:space="preserve">Molecular Biology Reporter </w:t>
      </w:r>
      <w:r>
        <w:t>18(1): 33-39.</w:t>
      </w:r>
    </w:p>
    <w:p w:rsidR="00CC08BB" w:rsidRDefault="00CC08BB" w:rsidP="00DC1EBD">
      <w:pPr>
        <w:spacing w:before="240"/>
      </w:pPr>
    </w:p>
    <w:p w:rsidR="00CC08BB" w:rsidRDefault="00CC08BB" w:rsidP="00DC1EBD">
      <w:pPr>
        <w:spacing w:before="240"/>
      </w:pPr>
      <w:r>
        <w:t>Klein, D., B. Fink, B. Arold, W. Eisenreich, and W. Schwab.  2007.  Functional</w:t>
      </w:r>
    </w:p>
    <w:p w:rsidR="00CC08BB" w:rsidRDefault="00CC08BB" w:rsidP="00DC1EBD">
      <w:pPr>
        <w:spacing w:before="240"/>
        <w:ind w:firstLine="720"/>
      </w:pPr>
      <w:r>
        <w:t xml:space="preserve">Characterization of Enone Reductases from Strawberry and Tomato Fruit. </w:t>
      </w:r>
    </w:p>
    <w:p w:rsidR="003A53D9" w:rsidRDefault="00CC08BB" w:rsidP="00DC1EBD">
      <w:pPr>
        <w:spacing w:before="240"/>
        <w:ind w:firstLine="720"/>
      </w:pPr>
      <w:r>
        <w:rPr>
          <w:i/>
        </w:rPr>
        <w:t xml:space="preserve">Journal of Agricultural and Food Chemistry </w:t>
      </w:r>
      <w:r>
        <w:t>55: 6705-6711.</w:t>
      </w:r>
    </w:p>
    <w:p w:rsidR="003A53D9" w:rsidRDefault="003A53D9" w:rsidP="003A53D9">
      <w:pPr>
        <w:spacing w:before="240"/>
      </w:pPr>
    </w:p>
    <w:p w:rsidR="003A53D9" w:rsidRDefault="003A53D9" w:rsidP="003A53D9">
      <w:pPr>
        <w:spacing w:before="240"/>
      </w:pPr>
      <w:r>
        <w:t>Mercado, J., I. el Mansouri, S. Jimenez-Bermudez, F. Pliego-Alfaro and M.A. Quesada.</w:t>
      </w:r>
    </w:p>
    <w:p w:rsidR="003A53D9" w:rsidRDefault="003A53D9" w:rsidP="003A53D9">
      <w:pPr>
        <w:spacing w:before="240"/>
        <w:ind w:firstLine="720"/>
      </w:pPr>
      <w:r>
        <w:t>1999.  A Convenient Protocol for Extraction and Purification of DNA from</w:t>
      </w:r>
    </w:p>
    <w:p w:rsidR="00CC08BB" w:rsidRPr="003A53D9" w:rsidRDefault="003A53D9" w:rsidP="003A53D9">
      <w:pPr>
        <w:spacing w:before="240"/>
        <w:ind w:firstLine="720"/>
      </w:pPr>
      <w:r>
        <w:rPr>
          <w:i/>
        </w:rPr>
        <w:t>Fragaria</w:t>
      </w:r>
      <w:r>
        <w:t xml:space="preserve">.  </w:t>
      </w:r>
      <w:r>
        <w:rPr>
          <w:i/>
        </w:rPr>
        <w:t xml:space="preserve">In Vitro Cellular Developmental Biology: </w:t>
      </w:r>
      <w:r>
        <w:t>Plant 35: 152-153.</w:t>
      </w:r>
    </w:p>
    <w:p w:rsidR="00502713" w:rsidRDefault="00502713" w:rsidP="00DC1EBD">
      <w:pPr>
        <w:spacing w:before="240"/>
      </w:pPr>
    </w:p>
    <w:p w:rsidR="00502713" w:rsidRDefault="00502713" w:rsidP="00DC1EBD">
      <w:pPr>
        <w:spacing w:before="240"/>
      </w:pPr>
      <w:r>
        <w:t>Raab, R., J.A. Lopez-Raez, R. Klein, J.L. Caballero, E. Moyano, W. Schwab, and J.</w:t>
      </w:r>
    </w:p>
    <w:p w:rsidR="00502713" w:rsidRDefault="00502713" w:rsidP="00DC1EBD">
      <w:pPr>
        <w:spacing w:before="240"/>
        <w:ind w:firstLine="720"/>
      </w:pPr>
      <w:r>
        <w:t xml:space="preserve">Munoz-Blanco.  </w:t>
      </w:r>
      <w:r>
        <w:rPr>
          <w:i/>
        </w:rPr>
        <w:t>FaQR</w:t>
      </w:r>
      <w:r>
        <w:t>, Required for the Biosynthesis of the Strawberry Flavor</w:t>
      </w:r>
    </w:p>
    <w:p w:rsidR="00502713" w:rsidRDefault="00502713" w:rsidP="00DC1EBD">
      <w:pPr>
        <w:spacing w:before="240"/>
        <w:ind w:firstLine="720"/>
      </w:pPr>
      <w:r>
        <w:t xml:space="preserve">Compound 4-Hydroxy-2,5-Dimethyl-3(2H)-Furanone, Encodes an Enone </w:t>
      </w:r>
    </w:p>
    <w:p w:rsidR="00FE1F7F" w:rsidRPr="00502713" w:rsidRDefault="00502713" w:rsidP="00DC1EBD">
      <w:pPr>
        <w:spacing w:before="240"/>
        <w:ind w:firstLine="720"/>
      </w:pPr>
      <w:r>
        <w:t xml:space="preserve">Oxidoreductase.   </w:t>
      </w:r>
      <w:r>
        <w:rPr>
          <w:i/>
        </w:rPr>
        <w:t xml:space="preserve">The Plant Cell </w:t>
      </w:r>
      <w:r>
        <w:t>18:1023-1037.</w:t>
      </w:r>
    </w:p>
    <w:sectPr w:rsidR="00FE1F7F" w:rsidRPr="00502713" w:rsidSect="00502713">
      <w:footerReference w:type="even" r:id="rId7"/>
      <w:footerReference w:type="default" r:id="rId8"/>
      <w:pgSz w:w="12240" w:h="15840"/>
      <w:pgMar w:top="1440" w:right="1800" w:bottom="1440" w:left="180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964F3" w:rsidRDefault="00C964F3" w:rsidP="00C964F3">
      <w:r>
        <w:separator/>
      </w:r>
    </w:p>
  </w:endnote>
  <w:endnote w:type="continuationSeparator" w:id="1">
    <w:p w:rsidR="00C964F3" w:rsidRDefault="00C964F3" w:rsidP="00C9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37D" w:rsidRDefault="00CE2DFB" w:rsidP="00CC08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13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137D" w:rsidRDefault="00CC137D" w:rsidP="00502713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137D" w:rsidRDefault="00CE2DFB" w:rsidP="00CC08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13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5D7">
      <w:rPr>
        <w:rStyle w:val="PageNumber"/>
        <w:noProof/>
      </w:rPr>
      <w:t>3</w:t>
    </w:r>
    <w:r>
      <w:rPr>
        <w:rStyle w:val="PageNumber"/>
      </w:rPr>
      <w:fldChar w:fldCharType="end"/>
    </w:r>
  </w:p>
  <w:p w:rsidR="00CC137D" w:rsidRDefault="00CC137D" w:rsidP="00502713">
    <w:pPr>
      <w:pStyle w:val="Footer"/>
      <w:ind w:right="360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964F3" w:rsidRDefault="00C964F3" w:rsidP="00C964F3">
      <w:r>
        <w:separator/>
      </w:r>
    </w:p>
  </w:footnote>
  <w:footnote w:type="continuationSeparator" w:id="1">
    <w:p w:rsidR="00C964F3" w:rsidRDefault="00C964F3" w:rsidP="00C9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AutofitConstrainedTables/>
    <w:doNotVertAlignCellWithSp/>
    <w:doNotBreakConstrainedForcedTable/>
    <w:useAnsiKerningPairs/>
    <w:cachedColBalance/>
    <w:splitPgBreakAndParaMark/>
  </w:compat>
  <w:rsids>
    <w:rsidRoot w:val="00FE1F7F"/>
    <w:rsid w:val="001176B4"/>
    <w:rsid w:val="00387301"/>
    <w:rsid w:val="003A53D9"/>
    <w:rsid w:val="003C5F9D"/>
    <w:rsid w:val="004D420D"/>
    <w:rsid w:val="00502713"/>
    <w:rsid w:val="005254A3"/>
    <w:rsid w:val="00886229"/>
    <w:rsid w:val="009033FA"/>
    <w:rsid w:val="009A297E"/>
    <w:rsid w:val="009F25D7"/>
    <w:rsid w:val="00A34459"/>
    <w:rsid w:val="00A832F4"/>
    <w:rsid w:val="00B2236F"/>
    <w:rsid w:val="00BB14F4"/>
    <w:rsid w:val="00C964F3"/>
    <w:rsid w:val="00CC08BB"/>
    <w:rsid w:val="00CC137D"/>
    <w:rsid w:val="00CE2DFB"/>
    <w:rsid w:val="00D2168C"/>
    <w:rsid w:val="00D303F2"/>
    <w:rsid w:val="00D46CFF"/>
    <w:rsid w:val="00DC1EBD"/>
    <w:rsid w:val="00E75AB0"/>
    <w:rsid w:val="00F37908"/>
    <w:rsid w:val="00FE1F7F"/>
  </w:rsids>
  <m:mathPr>
    <m:mathFont m:val="Arial Black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27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713"/>
  </w:style>
  <w:style w:type="character" w:styleId="PageNumber">
    <w:name w:val="page number"/>
    <w:basedOn w:val="DefaultParagraphFont"/>
    <w:uiPriority w:val="99"/>
    <w:semiHidden/>
    <w:unhideWhenUsed/>
    <w:rsid w:val="00502713"/>
  </w:style>
  <w:style w:type="paragraph" w:styleId="Header">
    <w:name w:val="header"/>
    <w:basedOn w:val="Normal"/>
    <w:link w:val="HeaderChar"/>
    <w:uiPriority w:val="99"/>
    <w:semiHidden/>
    <w:unhideWhenUsed/>
    <w:rsid w:val="00B223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36F"/>
  </w:style>
  <w:style w:type="paragraph" w:styleId="BalloonText">
    <w:name w:val="Balloon Text"/>
    <w:basedOn w:val="Normal"/>
    <w:link w:val="BalloonTextChar"/>
    <w:uiPriority w:val="99"/>
    <w:semiHidden/>
    <w:unhideWhenUsed/>
    <w:rsid w:val="00BB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610</Words>
  <Characters>3480</Characters>
  <Application>Microsoft Word 12.0.0</Application>
  <DocSecurity>0</DocSecurity>
  <Lines>29</Lines>
  <Paragraphs>6</Paragraphs>
  <ScaleCrop>false</ScaleCrop>
  <Company>College of Natural Science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Lees</dc:creator>
  <cp:keywords/>
  <cp:lastModifiedBy>KELSEY LEES</cp:lastModifiedBy>
  <cp:revision>11</cp:revision>
  <cp:lastPrinted>2009-09-08T22:19:00Z</cp:lastPrinted>
  <dcterms:created xsi:type="dcterms:W3CDTF">2009-09-03T14:04:00Z</dcterms:created>
  <dcterms:modified xsi:type="dcterms:W3CDTF">2009-09-08T22:19:00Z</dcterms:modified>
</cp:coreProperties>
</file>