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2D4D" w:rsidRPr="001F2D4D" w:rsidRDefault="001F2D4D" w:rsidP="001F2D4D">
      <w:pPr>
        <w:jc w:val="center"/>
        <w:rPr>
          <w:sz w:val="32"/>
        </w:rPr>
      </w:pPr>
      <w:r w:rsidRPr="001F2D4D">
        <w:rPr>
          <w:sz w:val="32"/>
        </w:rPr>
        <w:t xml:space="preserve">Strawberry Shortcake: an Exploration of the </w:t>
      </w:r>
      <w:proofErr w:type="spellStart"/>
      <w:r w:rsidRPr="001F2D4D">
        <w:rPr>
          <w:sz w:val="32"/>
        </w:rPr>
        <w:t>FaQR</w:t>
      </w:r>
      <w:proofErr w:type="spellEnd"/>
      <w:r w:rsidRPr="001F2D4D">
        <w:rPr>
          <w:sz w:val="32"/>
        </w:rPr>
        <w:t xml:space="preserve"> Gene</w:t>
      </w:r>
    </w:p>
    <w:p w:rsidR="001F2D4D" w:rsidRDefault="001F2D4D" w:rsidP="001F2D4D">
      <w:pPr>
        <w:jc w:val="center"/>
      </w:pPr>
    </w:p>
    <w:p w:rsidR="001F2D4D" w:rsidRDefault="001F2D4D" w:rsidP="001F2D4D">
      <w:pPr>
        <w:jc w:val="center"/>
      </w:pPr>
      <w:r w:rsidRPr="001F2D4D">
        <w:t>Nick Broadbent, Kelsey Lees and Tami Reuter</w:t>
      </w:r>
    </w:p>
    <w:p w:rsidR="001F2D4D" w:rsidRDefault="001F2D4D" w:rsidP="001F2D4D">
      <w:pPr>
        <w:jc w:val="center"/>
      </w:pPr>
      <w:r>
        <w:t>Recombinant DNA Technique – Fall 2009</w:t>
      </w:r>
    </w:p>
    <w:p w:rsidR="001F2D4D" w:rsidRPr="001F2D4D" w:rsidRDefault="001F2D4D" w:rsidP="001F2D4D">
      <w:pPr>
        <w:jc w:val="center"/>
      </w:pPr>
    </w:p>
    <w:p w:rsidR="00291A7D" w:rsidRDefault="00A30C1E" w:rsidP="00582F51">
      <w:pPr>
        <w:spacing w:line="480" w:lineRule="auto"/>
        <w:rPr>
          <w:b/>
        </w:rPr>
      </w:pPr>
      <w:r>
        <w:rPr>
          <w:b/>
        </w:rPr>
        <w:t>Introduction</w:t>
      </w:r>
    </w:p>
    <w:p w:rsidR="00291A7D" w:rsidRPr="00DE1974" w:rsidRDefault="00291A7D" w:rsidP="00993A84">
      <w:pPr>
        <w:spacing w:line="480" w:lineRule="auto"/>
        <w:ind w:firstLine="720"/>
        <w:rPr>
          <w:sz w:val="28"/>
        </w:rPr>
      </w:pPr>
      <w:r>
        <w:t xml:space="preserve">The Strawberry Shortcake group wanted to clone scent into </w:t>
      </w:r>
      <w:r>
        <w:rPr>
          <w:i/>
        </w:rPr>
        <w:t xml:space="preserve">Escherichia coli </w:t>
      </w:r>
      <w:r w:rsidR="005D4BB3">
        <w:t>during recombinant DNA techniq</w:t>
      </w:r>
      <w:r w:rsidR="00DA2F49">
        <w:t>ue – F</w:t>
      </w:r>
      <w:r>
        <w:t xml:space="preserve">all 2009.  </w:t>
      </w:r>
      <w:r w:rsidR="00DA2F49">
        <w:t xml:space="preserve">Some </w:t>
      </w:r>
      <w:r>
        <w:t xml:space="preserve">scents </w:t>
      </w:r>
      <w:r w:rsidR="00DA2F49">
        <w:t xml:space="preserve">currently </w:t>
      </w:r>
      <w:r>
        <w:t xml:space="preserve">exist in the </w:t>
      </w:r>
      <w:proofErr w:type="spellStart"/>
      <w:r>
        <w:t>Biobrick</w:t>
      </w:r>
      <w:proofErr w:type="spellEnd"/>
      <w:r>
        <w:t xml:space="preserve"> library such as banana, lemon and mint.  </w:t>
      </w:r>
    </w:p>
    <w:p w:rsidR="00291A7D" w:rsidRDefault="00247D32" w:rsidP="00291A7D">
      <w:pPr>
        <w:spacing w:line="480" w:lineRule="auto"/>
        <w:ind w:firstLine="720"/>
      </w:pPr>
      <w:r>
        <w:t xml:space="preserve">The </w:t>
      </w:r>
      <w:proofErr w:type="spellStart"/>
      <w:r>
        <w:t>Rosaceace</w:t>
      </w:r>
      <w:proofErr w:type="spellEnd"/>
      <w:r>
        <w:t xml:space="preserve"> are known for sweet smelling infructescence and inflorescence.  The scents are known to attract many pollinators and humans.  One of the most researched Rosaceae </w:t>
      </w:r>
      <w:r w:rsidR="00582F51">
        <w:t xml:space="preserve">scent </w:t>
      </w:r>
      <w:r>
        <w:t xml:space="preserve">constituents is the strawberry, </w:t>
      </w:r>
      <w:proofErr w:type="spellStart"/>
      <w:r w:rsidRPr="003340C6">
        <w:rPr>
          <w:i/>
        </w:rPr>
        <w:t>Fragaria</w:t>
      </w:r>
      <w:proofErr w:type="spellEnd"/>
      <w:r w:rsidRPr="003340C6">
        <w:rPr>
          <w:i/>
        </w:rPr>
        <w:t xml:space="preserve"> x </w:t>
      </w:r>
      <w:proofErr w:type="spellStart"/>
      <w:r w:rsidRPr="003340C6">
        <w:rPr>
          <w:i/>
        </w:rPr>
        <w:t>ananassa</w:t>
      </w:r>
      <w:proofErr w:type="spellEnd"/>
      <w:r w:rsidRPr="003340C6">
        <w:rPr>
          <w:i/>
        </w:rPr>
        <w:t xml:space="preserve"> </w:t>
      </w:r>
      <w:r w:rsidRPr="003340C6">
        <w:t xml:space="preserve"> (Weston) Duchesne </w:t>
      </w:r>
      <w:r w:rsidRPr="003340C6">
        <w:rPr>
          <w:i/>
        </w:rPr>
        <w:t>ex</w:t>
      </w:r>
      <w:r w:rsidRPr="003340C6">
        <w:t xml:space="preserve"> </w:t>
      </w:r>
      <w:proofErr w:type="spellStart"/>
      <w:r w:rsidRPr="003340C6">
        <w:t>Rozier</w:t>
      </w:r>
      <w:proofErr w:type="spellEnd"/>
      <w:r>
        <w:t>.</w:t>
      </w:r>
      <w:r w:rsidR="00DA2F49">
        <w:t xml:space="preserve"> The group primarily researched strawberries and raspberries. Strawberries were the more researched of the two, so the group chose strawberry scent as its focus.</w:t>
      </w:r>
    </w:p>
    <w:p w:rsidR="0099113F" w:rsidRDefault="00291A7D" w:rsidP="00291A7D">
      <w:pPr>
        <w:spacing w:line="480" w:lineRule="auto"/>
        <w:ind w:firstLine="720"/>
      </w:pPr>
      <w:r>
        <w:t>The production of strawberry scent is very complex</w:t>
      </w:r>
      <w:r w:rsidR="00DA2F49">
        <w:t>,</w:t>
      </w:r>
      <w:r>
        <w:t xml:space="preserve"> </w:t>
      </w:r>
      <w:r w:rsidR="00D92355">
        <w:t>caused by several genes through multiple pathways.</w:t>
      </w:r>
      <w:r w:rsidR="0009788E">
        <w:t xml:space="preserve">  </w:t>
      </w:r>
      <w:r w:rsidR="0099113F">
        <w:t xml:space="preserve">Cultivated strawberries are </w:t>
      </w:r>
      <w:proofErr w:type="spellStart"/>
      <w:r w:rsidR="0099113F">
        <w:t>polyploid</w:t>
      </w:r>
      <w:proofErr w:type="spellEnd"/>
      <w:r w:rsidR="0099113F">
        <w:t xml:space="preserve"> giants of wild strawberries.  However, some wild scent genes have been lost through cultivation, and new scent genes have been gained (</w:t>
      </w:r>
      <w:proofErr w:type="spellStart"/>
      <w:r w:rsidR="0099113F">
        <w:t>Aharoni</w:t>
      </w:r>
      <w:proofErr w:type="spellEnd"/>
      <w:r w:rsidR="0099113F">
        <w:t xml:space="preserve"> </w:t>
      </w:r>
      <w:r w:rsidR="0099113F">
        <w:rPr>
          <w:i/>
        </w:rPr>
        <w:t xml:space="preserve">et al. </w:t>
      </w:r>
      <w:r w:rsidR="0099113F">
        <w:t xml:space="preserve">2004; Ulrich </w:t>
      </w:r>
      <w:r w:rsidR="0099113F">
        <w:rPr>
          <w:i/>
        </w:rPr>
        <w:t xml:space="preserve">et al. </w:t>
      </w:r>
      <w:r w:rsidR="0099113F">
        <w:t xml:space="preserve">2007).  </w:t>
      </w:r>
      <w:r w:rsidR="0009788E">
        <w:t xml:space="preserve">The scent is caused by a combination of </w:t>
      </w:r>
      <w:proofErr w:type="spellStart"/>
      <w:r w:rsidR="0009788E">
        <w:t>terpenes</w:t>
      </w:r>
      <w:proofErr w:type="spellEnd"/>
      <w:r w:rsidR="0009788E">
        <w:t xml:space="preserve">, dominated by the </w:t>
      </w:r>
      <w:proofErr w:type="spellStart"/>
      <w:r w:rsidR="0009788E">
        <w:t>monoterpene</w:t>
      </w:r>
      <w:proofErr w:type="spellEnd"/>
      <w:r w:rsidR="0009788E">
        <w:t xml:space="preserve"> linalool and the </w:t>
      </w:r>
      <w:proofErr w:type="spellStart"/>
      <w:r w:rsidR="0009788E">
        <w:t>sesquiterpene</w:t>
      </w:r>
      <w:proofErr w:type="spellEnd"/>
      <w:r w:rsidR="0009788E">
        <w:t xml:space="preserve"> </w:t>
      </w:r>
      <w:proofErr w:type="spellStart"/>
      <w:r w:rsidR="0009788E">
        <w:t>nerolidol</w:t>
      </w:r>
      <w:proofErr w:type="spellEnd"/>
      <w:r w:rsidR="0009788E">
        <w:t xml:space="preserve">.  The </w:t>
      </w:r>
      <w:proofErr w:type="spellStart"/>
      <w:r w:rsidR="0009788E">
        <w:t>Nerolidol</w:t>
      </w:r>
      <w:proofErr w:type="spellEnd"/>
      <w:r w:rsidR="0009788E">
        <w:t xml:space="preserve"> </w:t>
      </w:r>
      <w:proofErr w:type="spellStart"/>
      <w:r w:rsidR="0009788E">
        <w:t>synthase</w:t>
      </w:r>
      <w:proofErr w:type="spellEnd"/>
      <w:r w:rsidR="0009788E">
        <w:t xml:space="preserve"> 1 (</w:t>
      </w:r>
      <w:r w:rsidR="0009788E" w:rsidRPr="00DA2F49">
        <w:rPr>
          <w:i/>
        </w:rPr>
        <w:t>FaNES1</w:t>
      </w:r>
      <w:r w:rsidR="00DA2F49">
        <w:t>) gene can generate both</w:t>
      </w:r>
      <w:r w:rsidR="0099113F">
        <w:t xml:space="preserve"> scent </w:t>
      </w:r>
      <w:proofErr w:type="spellStart"/>
      <w:r w:rsidR="0099113F">
        <w:t>terpenes</w:t>
      </w:r>
      <w:proofErr w:type="spellEnd"/>
      <w:r w:rsidR="0099113F">
        <w:t xml:space="preserve"> when supplied with </w:t>
      </w:r>
      <w:proofErr w:type="spellStart"/>
      <w:r w:rsidR="0099113F">
        <w:t>geranyl</w:t>
      </w:r>
      <w:proofErr w:type="spellEnd"/>
      <w:r w:rsidR="0099113F">
        <w:t xml:space="preserve"> </w:t>
      </w:r>
      <w:proofErr w:type="spellStart"/>
      <w:r w:rsidR="0099113F">
        <w:t>diphosphate</w:t>
      </w:r>
      <w:proofErr w:type="spellEnd"/>
      <w:r w:rsidR="0099113F">
        <w:t xml:space="preserve"> (GPP) or </w:t>
      </w:r>
      <w:proofErr w:type="spellStart"/>
      <w:r w:rsidR="0099113F">
        <w:t>farnesyl</w:t>
      </w:r>
      <w:proofErr w:type="spellEnd"/>
      <w:r w:rsidR="0099113F">
        <w:t xml:space="preserve"> </w:t>
      </w:r>
      <w:proofErr w:type="spellStart"/>
      <w:r w:rsidR="0099113F">
        <w:t>diphosphhate</w:t>
      </w:r>
      <w:proofErr w:type="spellEnd"/>
      <w:r w:rsidR="0099113F">
        <w:t xml:space="preserve"> (FPP) in </w:t>
      </w:r>
      <w:r w:rsidR="0099113F">
        <w:rPr>
          <w:i/>
        </w:rPr>
        <w:t>E. coli</w:t>
      </w:r>
      <w:r w:rsidR="0099113F">
        <w:t>.</w:t>
      </w:r>
      <w:r w:rsidR="0099113F">
        <w:rPr>
          <w:i/>
        </w:rPr>
        <w:t xml:space="preserve">  </w:t>
      </w:r>
      <w:r w:rsidR="0099113F">
        <w:t>GPP and FPP are both present in HMG-</w:t>
      </w:r>
      <w:proofErr w:type="spellStart"/>
      <w:r w:rsidR="0099113F">
        <w:t>CoA</w:t>
      </w:r>
      <w:proofErr w:type="spellEnd"/>
      <w:r w:rsidR="0099113F">
        <w:t xml:space="preserve"> </w:t>
      </w:r>
      <w:proofErr w:type="spellStart"/>
      <w:r w:rsidR="0099113F">
        <w:t>reductase</w:t>
      </w:r>
      <w:proofErr w:type="spellEnd"/>
      <w:r w:rsidR="0099113F">
        <w:t xml:space="preserve"> pathway.  Ov</w:t>
      </w:r>
      <w:r w:rsidR="00DA2F49">
        <w:t xml:space="preserve">er 70 plants were tested in the </w:t>
      </w:r>
      <w:r w:rsidR="0099113F">
        <w:t>study</w:t>
      </w:r>
      <w:r w:rsidR="00DA2F49">
        <w:t xml:space="preserve"> of </w:t>
      </w:r>
      <w:proofErr w:type="spellStart"/>
      <w:r w:rsidR="00DA2F49">
        <w:t>Aharoni</w:t>
      </w:r>
      <w:proofErr w:type="spellEnd"/>
      <w:r w:rsidR="00DA2F49">
        <w:t xml:space="preserve"> </w:t>
      </w:r>
      <w:r w:rsidR="00DA2F49">
        <w:rPr>
          <w:i/>
        </w:rPr>
        <w:t xml:space="preserve">et al. </w:t>
      </w:r>
      <w:r w:rsidR="00DA2F49">
        <w:t>(2004)</w:t>
      </w:r>
      <w:r w:rsidR="0099113F">
        <w:t xml:space="preserve">, </w:t>
      </w:r>
      <w:r w:rsidR="0099113F">
        <w:lastRenderedPageBreak/>
        <w:t xml:space="preserve">and all had </w:t>
      </w:r>
      <w:r w:rsidR="0099113F" w:rsidRPr="00DA2F49">
        <w:rPr>
          <w:i/>
        </w:rPr>
        <w:t>FaNES1</w:t>
      </w:r>
      <w:r w:rsidR="0009788E">
        <w:t xml:space="preserve">. </w:t>
      </w:r>
      <w:r w:rsidR="00DA2F49">
        <w:t xml:space="preserve">  However, </w:t>
      </w:r>
      <w:r w:rsidR="00DA2F49">
        <w:rPr>
          <w:i/>
        </w:rPr>
        <w:t xml:space="preserve">FaNES1 </w:t>
      </w:r>
      <w:r w:rsidR="0099113F">
        <w:t>experiments are common and most were not successful.</w:t>
      </w:r>
    </w:p>
    <w:p w:rsidR="00BE1A23" w:rsidRDefault="0099113F" w:rsidP="00993A84">
      <w:pPr>
        <w:spacing w:line="480" w:lineRule="auto"/>
        <w:ind w:firstLine="720"/>
      </w:pPr>
      <w:r>
        <w:t xml:space="preserve">The strawberry alcohol </w:t>
      </w:r>
      <w:proofErr w:type="spellStart"/>
      <w:r>
        <w:t>acyltransferase</w:t>
      </w:r>
      <w:proofErr w:type="spellEnd"/>
      <w:r>
        <w:t xml:space="preserve"> gene (</w:t>
      </w:r>
      <w:r w:rsidRPr="00DA2F49">
        <w:rPr>
          <w:i/>
        </w:rPr>
        <w:t>SAAT</w:t>
      </w:r>
      <w:r>
        <w:t xml:space="preserve">) is also present in cultivated strawberries.  It causes </w:t>
      </w:r>
      <w:proofErr w:type="spellStart"/>
      <w:r>
        <w:t>tra</w:t>
      </w:r>
      <w:r w:rsidR="00DA2F49">
        <w:t>nsacylation</w:t>
      </w:r>
      <w:proofErr w:type="spellEnd"/>
      <w:r w:rsidR="00DA2F49">
        <w:t xml:space="preserve"> from </w:t>
      </w:r>
      <w:proofErr w:type="spellStart"/>
      <w:r w:rsidR="00DA2F49">
        <w:t>acyl-CoA</w:t>
      </w:r>
      <w:proofErr w:type="spellEnd"/>
      <w:r w:rsidR="00DA2F49">
        <w:t xml:space="preserve"> to alcohol</w:t>
      </w:r>
      <w:r>
        <w:t xml:space="preserve"> (</w:t>
      </w:r>
      <w:proofErr w:type="spellStart"/>
      <w:r>
        <w:t>Aharoni</w:t>
      </w:r>
      <w:proofErr w:type="spellEnd"/>
      <w:r>
        <w:t xml:space="preserve"> </w:t>
      </w:r>
      <w:r>
        <w:rPr>
          <w:i/>
        </w:rPr>
        <w:t xml:space="preserve">et al. </w:t>
      </w:r>
      <w:r>
        <w:t xml:space="preserve">2000, 2004).  Alcohol </w:t>
      </w:r>
      <w:proofErr w:type="spellStart"/>
      <w:r>
        <w:t>acyltransferases</w:t>
      </w:r>
      <w:proofErr w:type="spellEnd"/>
      <w:r>
        <w:t xml:space="preserve"> are common in most </w:t>
      </w:r>
      <w:r w:rsidR="00993A84">
        <w:t>ripening fruits, and t</w:t>
      </w:r>
      <w:r>
        <w:t>hey are the last step in the b</w:t>
      </w:r>
      <w:r w:rsidR="00993A84">
        <w:t xml:space="preserve">iosynthesis of volatile esters </w:t>
      </w:r>
      <w:r>
        <w:t>(</w:t>
      </w:r>
      <w:proofErr w:type="spellStart"/>
      <w:r>
        <w:t>Beekwilder</w:t>
      </w:r>
      <w:proofErr w:type="spellEnd"/>
      <w:r>
        <w:t xml:space="preserve"> </w:t>
      </w:r>
      <w:r>
        <w:rPr>
          <w:i/>
        </w:rPr>
        <w:t xml:space="preserve">et al. </w:t>
      </w:r>
      <w:r>
        <w:t xml:space="preserve">2004).  SAAT has been isolated from strawberries and put into </w:t>
      </w:r>
      <w:r>
        <w:rPr>
          <w:i/>
        </w:rPr>
        <w:t>E. coli,</w:t>
      </w:r>
      <w:r w:rsidR="00BE1A23">
        <w:rPr>
          <w:i/>
        </w:rPr>
        <w:t xml:space="preserve"> </w:t>
      </w:r>
      <w:r w:rsidR="00BE1A23">
        <w:t>however the esters could</w:t>
      </w:r>
      <w:r w:rsidR="00DA2F49">
        <w:t xml:space="preserve"> no</w:t>
      </w:r>
      <w:r w:rsidR="00993A84">
        <w:t>t</w:t>
      </w:r>
      <w:r w:rsidR="00BE1A23">
        <w:t xml:space="preserve"> be detected through </w:t>
      </w:r>
      <w:r w:rsidR="00993A84">
        <w:t>human olfaction,</w:t>
      </w:r>
      <w:r w:rsidR="00DA2F49">
        <w:t xml:space="preserve"> and gas chroma</w:t>
      </w:r>
      <w:r w:rsidR="00BE1A23">
        <w:t>tography was used (</w:t>
      </w:r>
      <w:proofErr w:type="spellStart"/>
      <w:r w:rsidR="00BE1A23">
        <w:t>Beekwiler</w:t>
      </w:r>
      <w:proofErr w:type="spellEnd"/>
      <w:r w:rsidR="00BE1A23">
        <w:t xml:space="preserve"> </w:t>
      </w:r>
      <w:r w:rsidR="00BE1A23">
        <w:rPr>
          <w:i/>
        </w:rPr>
        <w:t xml:space="preserve">et al. </w:t>
      </w:r>
      <w:r w:rsidR="00BE1A23">
        <w:t>2004).</w:t>
      </w:r>
    </w:p>
    <w:p w:rsidR="00BE1A23" w:rsidRDefault="0099113F" w:rsidP="00291A7D">
      <w:pPr>
        <w:spacing w:line="480" w:lineRule="auto"/>
        <w:ind w:firstLine="720"/>
      </w:pPr>
      <w:r>
        <w:rPr>
          <w:i/>
        </w:rPr>
        <w:t xml:space="preserve"> </w:t>
      </w:r>
      <w:r w:rsidR="00BE1A23">
        <w:t xml:space="preserve">The </w:t>
      </w:r>
      <w:r w:rsidR="00DA2F49">
        <w:t>most recently discovered</w:t>
      </w:r>
      <w:r w:rsidR="00BE1A23">
        <w:t xml:space="preserve"> strawberry scent gene is the </w:t>
      </w:r>
      <w:proofErr w:type="spellStart"/>
      <w:r w:rsidR="00BE1A23">
        <w:rPr>
          <w:i/>
        </w:rPr>
        <w:t>Fragaria</w:t>
      </w:r>
      <w:proofErr w:type="spellEnd"/>
      <w:r w:rsidR="00BE1A23">
        <w:rPr>
          <w:i/>
        </w:rPr>
        <w:t xml:space="preserve"> x </w:t>
      </w:r>
      <w:proofErr w:type="spellStart"/>
      <w:r w:rsidR="00BE1A23">
        <w:rPr>
          <w:i/>
        </w:rPr>
        <w:t>ananassa</w:t>
      </w:r>
      <w:proofErr w:type="spellEnd"/>
      <w:r w:rsidR="00BE1A23">
        <w:rPr>
          <w:i/>
        </w:rPr>
        <w:t xml:space="preserve"> </w:t>
      </w:r>
      <w:proofErr w:type="spellStart"/>
      <w:r w:rsidR="00BE1A23">
        <w:t>quinone</w:t>
      </w:r>
      <w:proofErr w:type="spellEnd"/>
      <w:r w:rsidR="00BE1A23">
        <w:t xml:space="preserve"> </w:t>
      </w:r>
      <w:proofErr w:type="spellStart"/>
      <w:r w:rsidR="00BE1A23">
        <w:t>oxireductase</w:t>
      </w:r>
      <w:proofErr w:type="spellEnd"/>
      <w:r w:rsidR="00BE1A23">
        <w:t xml:space="preserve"> (</w:t>
      </w:r>
      <w:proofErr w:type="spellStart"/>
      <w:r w:rsidR="00BE1A23" w:rsidRPr="00DA2F49">
        <w:rPr>
          <w:i/>
        </w:rPr>
        <w:t>FaQR</w:t>
      </w:r>
      <w:proofErr w:type="spellEnd"/>
      <w:r w:rsidR="00BE1A23">
        <w:t xml:space="preserve">) gene.  It is highly expressed in ripe strawberry fruits.  The gene </w:t>
      </w:r>
      <w:r w:rsidR="00BE1A23" w:rsidRPr="00BE1A23">
        <w:t>synthesizes 4-hydroxy-2</w:t>
      </w:r>
      <w:proofErr w:type="gramStart"/>
      <w:r w:rsidR="00BE1A23" w:rsidRPr="00BE1A23">
        <w:t>,5</w:t>
      </w:r>
      <w:proofErr w:type="gramEnd"/>
      <w:r w:rsidR="00BE1A23" w:rsidRPr="00BE1A23">
        <w:t>-dimethyl-3(2H)-</w:t>
      </w:r>
      <w:proofErr w:type="spellStart"/>
      <w:r w:rsidR="00BE1A23" w:rsidRPr="00BE1A23">
        <w:t>furanone</w:t>
      </w:r>
      <w:proofErr w:type="spellEnd"/>
      <w:r w:rsidR="00BE1A23" w:rsidRPr="00BE1A23">
        <w:t xml:space="preserve"> (HDMF)</w:t>
      </w:r>
      <w:r w:rsidR="00BE1A23">
        <w:t>, th</w:t>
      </w:r>
      <w:r w:rsidR="00993A84">
        <w:t>e key strawberry flavor ester (F</w:t>
      </w:r>
      <w:r w:rsidR="00BE1A23">
        <w:t>igure 1).  The HDMF precursor is unavailable commercially, and difficult to make organically (</w:t>
      </w:r>
      <w:proofErr w:type="spellStart"/>
      <w:r w:rsidR="00BE1A23">
        <w:t>Raab</w:t>
      </w:r>
      <w:proofErr w:type="spellEnd"/>
      <w:r w:rsidR="00BE1A23">
        <w:t xml:space="preserve"> </w:t>
      </w:r>
      <w:r w:rsidR="00BE1A23">
        <w:rPr>
          <w:i/>
        </w:rPr>
        <w:t xml:space="preserve">et al. </w:t>
      </w:r>
      <w:r w:rsidR="00BE1A23">
        <w:t>2006).</w:t>
      </w:r>
    </w:p>
    <w:p w:rsidR="00BE1A23" w:rsidRDefault="00BE1A23" w:rsidP="00291A7D">
      <w:pPr>
        <w:spacing w:line="480" w:lineRule="auto"/>
        <w:ind w:firstLine="720"/>
      </w:pPr>
    </w:p>
    <w:p w:rsidR="00BE1A23" w:rsidRDefault="00BE1A23" w:rsidP="00993A84">
      <w:pPr>
        <w:spacing w:line="480" w:lineRule="auto"/>
        <w:ind w:firstLine="720"/>
        <w:jc w:val="center"/>
      </w:pPr>
      <w:r w:rsidRPr="00BE1A23">
        <w:rPr>
          <w:noProof/>
        </w:rPr>
        <w:drawing>
          <wp:inline distT="0" distB="0" distL="0" distR="0">
            <wp:extent cx="2801620" cy="2400300"/>
            <wp:effectExtent l="19050" t="0" r="0" b="0"/>
            <wp:docPr id="1" name="P 1" descr="HDMF.bmp"/>
            <wp:cNvGraphicFramePr/>
            <a:graphic xmlns:a="http://schemas.openxmlformats.org/drawingml/2006/main">
              <a:graphicData uri="http://schemas.openxmlformats.org/drawingml/2006/picture">
                <pic:pic xmlns:pic="http://schemas.openxmlformats.org/drawingml/2006/picture">
                  <pic:nvPicPr>
                    <pic:cNvPr id="0" name="Content Placeholder 16" descr="HDMF.bmp"/>
                    <pic:cNvPicPr>
                      <a:picLocks noGrp="1" noChangeAspect="1"/>
                    </pic:cNvPicPr>
                  </pic:nvPicPr>
                  <pic:blipFill>
                    <a:blip r:embed="rId6" cstate="print"/>
                    <a:stretch>
                      <a:fillRect/>
                    </a:stretch>
                  </pic:blipFill>
                  <pic:spPr>
                    <a:xfrm>
                      <a:off x="0" y="0"/>
                      <a:ext cx="2802722" cy="2401244"/>
                    </a:xfrm>
                    <a:prstGeom prst="rect">
                      <a:avLst/>
                    </a:prstGeom>
                  </pic:spPr>
                </pic:pic>
              </a:graphicData>
            </a:graphic>
          </wp:inline>
        </w:drawing>
      </w:r>
      <w:r w:rsidR="00993A84">
        <w:rPr>
          <w:b/>
        </w:rPr>
        <w:t xml:space="preserve">                                                           </w:t>
      </w:r>
      <w:r w:rsidRPr="00BE1A23">
        <w:rPr>
          <w:b/>
        </w:rPr>
        <w:t>Figure 1.</w:t>
      </w:r>
      <w:r>
        <w:t xml:space="preserve">  Reactions catalyzed by </w:t>
      </w:r>
      <w:proofErr w:type="spellStart"/>
      <w:r>
        <w:t>FaQR</w:t>
      </w:r>
      <w:proofErr w:type="spellEnd"/>
      <w:r>
        <w:t>, leading to HDMF (</w:t>
      </w:r>
      <w:proofErr w:type="spellStart"/>
      <w:r>
        <w:t>Raab</w:t>
      </w:r>
      <w:proofErr w:type="spellEnd"/>
      <w:r>
        <w:t xml:space="preserve"> </w:t>
      </w:r>
      <w:r>
        <w:rPr>
          <w:i/>
        </w:rPr>
        <w:t xml:space="preserve">et al. </w:t>
      </w:r>
      <w:r>
        <w:t>2006)</w:t>
      </w:r>
    </w:p>
    <w:p w:rsidR="00BE1A23" w:rsidRDefault="00BE1A23" w:rsidP="00582F51">
      <w:pPr>
        <w:spacing w:line="480" w:lineRule="auto"/>
        <w:ind w:firstLine="720"/>
      </w:pPr>
    </w:p>
    <w:p w:rsidR="00BE1A23" w:rsidRPr="00993A84" w:rsidRDefault="00582F51" w:rsidP="00993A84">
      <w:pPr>
        <w:spacing w:line="480" w:lineRule="auto"/>
        <w:ind w:firstLine="720"/>
        <w:rPr>
          <w:iCs/>
        </w:rPr>
      </w:pPr>
      <w:r>
        <w:t xml:space="preserve">The </w:t>
      </w:r>
      <w:r w:rsidR="00993A84">
        <w:t>original objectives</w:t>
      </w:r>
      <w:r>
        <w:t xml:space="preserve"> of the Strawberry Shortcake group </w:t>
      </w:r>
      <w:r w:rsidR="00993A84">
        <w:t>were</w:t>
      </w:r>
      <w:r>
        <w:t xml:space="preserve"> (1) </w:t>
      </w:r>
      <w:r w:rsidR="00993A84">
        <w:t>t</w:t>
      </w:r>
      <w:r w:rsidRPr="00582F51">
        <w:t xml:space="preserve">o construct a system containing the </w:t>
      </w:r>
      <w:proofErr w:type="spellStart"/>
      <w:r w:rsidRPr="00582F51">
        <w:rPr>
          <w:i/>
          <w:iCs/>
        </w:rPr>
        <w:t>Fragaria</w:t>
      </w:r>
      <w:proofErr w:type="spellEnd"/>
      <w:r w:rsidRPr="00582F51">
        <w:rPr>
          <w:i/>
          <w:iCs/>
        </w:rPr>
        <w:t xml:space="preserve"> x </w:t>
      </w:r>
      <w:proofErr w:type="spellStart"/>
      <w:r w:rsidRPr="00582F51">
        <w:rPr>
          <w:i/>
          <w:iCs/>
        </w:rPr>
        <w:t>ananassa</w:t>
      </w:r>
      <w:proofErr w:type="spellEnd"/>
      <w:r w:rsidRPr="00582F51">
        <w:rPr>
          <w:i/>
          <w:iCs/>
        </w:rPr>
        <w:t xml:space="preserve"> </w:t>
      </w:r>
      <w:proofErr w:type="spellStart"/>
      <w:r w:rsidRPr="00582F51">
        <w:t>quinone</w:t>
      </w:r>
      <w:proofErr w:type="spellEnd"/>
      <w:r w:rsidRPr="00582F51">
        <w:t xml:space="preserve"> </w:t>
      </w:r>
      <w:proofErr w:type="spellStart"/>
      <w:r w:rsidRPr="00582F51">
        <w:t>oxireductase</w:t>
      </w:r>
      <w:proofErr w:type="spellEnd"/>
      <w:r w:rsidRPr="00582F51">
        <w:t xml:space="preserve"> gene (</w:t>
      </w:r>
      <w:proofErr w:type="spellStart"/>
      <w:r w:rsidRPr="00582F51">
        <w:rPr>
          <w:i/>
          <w:iCs/>
        </w:rPr>
        <w:t>FaQR</w:t>
      </w:r>
      <w:proofErr w:type="spellEnd"/>
      <w:r w:rsidR="00DA2F49">
        <w:t xml:space="preserve">), </w:t>
      </w:r>
      <w:r w:rsidRPr="00582F51">
        <w:t>testable through a green fluorescent protein (GFP) marker</w:t>
      </w:r>
      <w:r>
        <w:t xml:space="preserve"> and (2) t</w:t>
      </w:r>
      <w:r w:rsidRPr="00582F51">
        <w:t xml:space="preserve">o create a system containing the Strawberry alcohol </w:t>
      </w:r>
      <w:proofErr w:type="spellStart"/>
      <w:r w:rsidRPr="00582F51">
        <w:t>acyltransferase</w:t>
      </w:r>
      <w:proofErr w:type="spellEnd"/>
      <w:r w:rsidRPr="00582F51">
        <w:t xml:space="preserve"> gene (</w:t>
      </w:r>
      <w:r w:rsidRPr="00582F51">
        <w:rPr>
          <w:i/>
          <w:iCs/>
        </w:rPr>
        <w:t>SAAT</w:t>
      </w:r>
      <w:r w:rsidR="00BB25D6">
        <w:t>) testable through</w:t>
      </w:r>
      <w:r w:rsidRPr="00582F51">
        <w:t xml:space="preserve"> gas chromatography.</w:t>
      </w:r>
    </w:p>
    <w:p w:rsidR="00B06466" w:rsidRPr="00B06466" w:rsidRDefault="00BE1A23" w:rsidP="00BB25D6">
      <w:pPr>
        <w:spacing w:line="480" w:lineRule="auto"/>
        <w:ind w:firstLine="720"/>
      </w:pPr>
      <w:r>
        <w:t xml:space="preserve">The </w:t>
      </w:r>
      <w:proofErr w:type="spellStart"/>
      <w:r>
        <w:t>Biobrick</w:t>
      </w:r>
      <w:proofErr w:type="spellEnd"/>
      <w:r>
        <w:t xml:space="preserve"> library has parts avail</w:t>
      </w:r>
      <w:r w:rsidR="00993A84">
        <w:t>able to be used in this study (T</w:t>
      </w:r>
      <w:r>
        <w:t>able 1).</w:t>
      </w:r>
      <w:r w:rsidR="00B06466">
        <w:t xml:space="preserve"> </w:t>
      </w:r>
      <w:r w:rsidR="00FC6E6C">
        <w:t xml:space="preserve"> Once the </w:t>
      </w:r>
      <w:proofErr w:type="spellStart"/>
      <w:r w:rsidR="00FC6E6C" w:rsidRPr="00DA2F49">
        <w:rPr>
          <w:i/>
        </w:rPr>
        <w:t>FaQR</w:t>
      </w:r>
      <w:proofErr w:type="spellEnd"/>
      <w:r w:rsidR="00FC6E6C" w:rsidRPr="00DA2F49">
        <w:rPr>
          <w:i/>
        </w:rPr>
        <w:t xml:space="preserve"> </w:t>
      </w:r>
      <w:r w:rsidR="00FC6E6C">
        <w:t>gene was</w:t>
      </w:r>
      <w:r w:rsidR="00B06466">
        <w:t xml:space="preserve"> isolated</w:t>
      </w:r>
      <w:r w:rsidR="00993A84">
        <w:t xml:space="preserve"> from plant tissue</w:t>
      </w:r>
      <w:r w:rsidR="00FC6E6C">
        <w:t>, the group planned</w:t>
      </w:r>
      <w:r w:rsidR="00B06466">
        <w:t xml:space="preserve"> on fusing it</w:t>
      </w:r>
      <w:r w:rsidR="00B06466" w:rsidRPr="00B06466">
        <w:t xml:space="preserve"> </w:t>
      </w:r>
      <w:r w:rsidR="00DA2F49">
        <w:t xml:space="preserve">to </w:t>
      </w:r>
      <w:r w:rsidR="00B06466" w:rsidRPr="00B06466">
        <w:t xml:space="preserve">a tetracycline </w:t>
      </w:r>
      <w:r w:rsidR="00FC6E6C" w:rsidRPr="00B06466">
        <w:t>promoter</w:t>
      </w:r>
      <w:r w:rsidR="00B06466" w:rsidRPr="00B06466">
        <w:t xml:space="preserve"> and </w:t>
      </w:r>
      <w:r w:rsidR="00B06466">
        <w:t>a green fluorescent protein (</w:t>
      </w:r>
      <w:r w:rsidR="00B06466" w:rsidRPr="00B06466">
        <w:t>GFP</w:t>
      </w:r>
      <w:r w:rsidR="00993A84">
        <w:t>)(F</w:t>
      </w:r>
      <w:r w:rsidR="00DA2F49">
        <w:t xml:space="preserve">igure 2) </w:t>
      </w:r>
      <w:r w:rsidR="00B06466">
        <w:t>and transforming</w:t>
      </w:r>
      <w:r w:rsidR="00B06466" w:rsidRPr="00B06466">
        <w:t xml:space="preserve"> into </w:t>
      </w:r>
      <w:r w:rsidR="00B06466" w:rsidRPr="00B06466">
        <w:rPr>
          <w:i/>
        </w:rPr>
        <w:t>E. coli</w:t>
      </w:r>
      <w:r w:rsidR="00B06466">
        <w:rPr>
          <w:i/>
        </w:rPr>
        <w:t xml:space="preserve">.  </w:t>
      </w:r>
      <w:r w:rsidR="00B06466">
        <w:t>The s</w:t>
      </w:r>
      <w:r w:rsidR="00B06466" w:rsidRPr="00B06466">
        <w:t xml:space="preserve">ystem </w:t>
      </w:r>
      <w:r w:rsidR="00FC6E6C">
        <w:t xml:space="preserve">would be </w:t>
      </w:r>
      <w:r w:rsidR="00B06466" w:rsidRPr="00B06466">
        <w:t xml:space="preserve">tested through use of </w:t>
      </w:r>
      <w:r w:rsidR="00DA2F49">
        <w:t xml:space="preserve">a </w:t>
      </w:r>
      <w:r w:rsidR="00FC6E6C">
        <w:t xml:space="preserve">GFP attachment marker. </w:t>
      </w:r>
    </w:p>
    <w:p w:rsidR="00BE1A23" w:rsidRDefault="00BE1A23" w:rsidP="00582F51">
      <w:pPr>
        <w:spacing w:line="480" w:lineRule="auto"/>
        <w:ind w:firstLine="720"/>
      </w:pPr>
    </w:p>
    <w:p w:rsidR="00BE1A23" w:rsidRDefault="00BE1A23" w:rsidP="00B06466">
      <w:pPr>
        <w:spacing w:line="480" w:lineRule="auto"/>
        <w:jc w:val="center"/>
      </w:pPr>
      <w:r>
        <w:rPr>
          <w:b/>
        </w:rPr>
        <w:t xml:space="preserve">Table 1.  </w:t>
      </w:r>
      <w:proofErr w:type="spellStart"/>
      <w:r>
        <w:t>Biobrick</w:t>
      </w:r>
      <w:proofErr w:type="spellEnd"/>
      <w:r>
        <w:t xml:space="preserve"> parts to be used in the St</w:t>
      </w:r>
      <w:r w:rsidR="00B06466">
        <w:t>rawberry Shortcake project</w:t>
      </w:r>
      <w:r>
        <w:t>.</w:t>
      </w:r>
    </w:p>
    <w:tbl>
      <w:tblPr>
        <w:tblStyle w:val="TableGrid"/>
        <w:tblW w:w="0" w:type="auto"/>
        <w:tblLook w:val="00BF"/>
      </w:tblPr>
      <w:tblGrid>
        <w:gridCol w:w="4428"/>
        <w:gridCol w:w="4428"/>
      </w:tblGrid>
      <w:tr w:rsidR="00B06466">
        <w:tc>
          <w:tcPr>
            <w:tcW w:w="4428" w:type="dxa"/>
          </w:tcPr>
          <w:p w:rsidR="00B06466" w:rsidRPr="00B06466" w:rsidRDefault="00B06466" w:rsidP="00B06466">
            <w:pPr>
              <w:rPr>
                <w:b/>
              </w:rPr>
            </w:pPr>
            <w:r w:rsidRPr="00B06466">
              <w:rPr>
                <w:b/>
              </w:rPr>
              <w:t>Part</w:t>
            </w:r>
          </w:p>
        </w:tc>
        <w:tc>
          <w:tcPr>
            <w:tcW w:w="4428" w:type="dxa"/>
          </w:tcPr>
          <w:p w:rsidR="00B06466" w:rsidRPr="00B06466" w:rsidRDefault="00B06466" w:rsidP="00B06466">
            <w:pPr>
              <w:rPr>
                <w:b/>
              </w:rPr>
            </w:pPr>
            <w:r w:rsidRPr="00B06466">
              <w:rPr>
                <w:b/>
              </w:rPr>
              <w:t>Accession number</w:t>
            </w:r>
          </w:p>
        </w:tc>
      </w:tr>
      <w:tr w:rsidR="00B06466">
        <w:tc>
          <w:tcPr>
            <w:tcW w:w="4428" w:type="dxa"/>
          </w:tcPr>
          <w:p w:rsidR="00B06466" w:rsidRDefault="00B06466" w:rsidP="00B06466">
            <w:proofErr w:type="spellStart"/>
            <w:r w:rsidRPr="00DA2F49">
              <w:rPr>
                <w:i/>
              </w:rPr>
              <w:t>FaQR</w:t>
            </w:r>
            <w:proofErr w:type="spellEnd"/>
            <w:r w:rsidRPr="00DA2F49">
              <w:rPr>
                <w:i/>
              </w:rPr>
              <w:t xml:space="preserve"> </w:t>
            </w:r>
            <w:r>
              <w:t>gene</w:t>
            </w:r>
          </w:p>
        </w:tc>
        <w:tc>
          <w:tcPr>
            <w:tcW w:w="4428" w:type="dxa"/>
          </w:tcPr>
          <w:p w:rsidR="00B06466" w:rsidRPr="00B06466" w:rsidRDefault="00B06466" w:rsidP="00B06466">
            <w:r>
              <w:t xml:space="preserve">DNA:  </w:t>
            </w:r>
            <w:r w:rsidRPr="00B06466">
              <w:t>AY048861</w:t>
            </w:r>
          </w:p>
          <w:p w:rsidR="00B06466" w:rsidRDefault="00B06466" w:rsidP="00B06466">
            <w:r w:rsidRPr="00B06466">
              <w:t>mRNA</w:t>
            </w:r>
            <w:r>
              <w:t xml:space="preserve">:  </w:t>
            </w:r>
            <w:r w:rsidRPr="00B06466">
              <w:t>AY048861</w:t>
            </w:r>
          </w:p>
        </w:tc>
      </w:tr>
      <w:tr w:rsidR="00B06466">
        <w:tc>
          <w:tcPr>
            <w:tcW w:w="4428" w:type="dxa"/>
          </w:tcPr>
          <w:p w:rsidR="00B06466" w:rsidRDefault="00B06466" w:rsidP="00B06466">
            <w:r w:rsidRPr="00DA2F49">
              <w:rPr>
                <w:i/>
              </w:rPr>
              <w:t>SAAT</w:t>
            </w:r>
            <w:r>
              <w:t xml:space="preserve"> mRNA</w:t>
            </w:r>
          </w:p>
        </w:tc>
        <w:tc>
          <w:tcPr>
            <w:tcW w:w="4428" w:type="dxa"/>
          </w:tcPr>
          <w:p w:rsidR="00B06466" w:rsidRDefault="00B06466" w:rsidP="00B06466">
            <w:r w:rsidRPr="00B06466">
              <w:t>AF193789</w:t>
            </w:r>
          </w:p>
        </w:tc>
      </w:tr>
      <w:tr w:rsidR="00B06466">
        <w:tc>
          <w:tcPr>
            <w:tcW w:w="4428" w:type="dxa"/>
          </w:tcPr>
          <w:p w:rsidR="00B06466" w:rsidRDefault="00B06466" w:rsidP="00B06466">
            <w:r w:rsidRPr="00B06466">
              <w:t xml:space="preserve">Tetracycline repressible </w:t>
            </w:r>
            <w:proofErr w:type="spellStart"/>
            <w:r w:rsidRPr="00B06466">
              <w:t>promotor</w:t>
            </w:r>
            <w:proofErr w:type="spellEnd"/>
          </w:p>
        </w:tc>
        <w:tc>
          <w:tcPr>
            <w:tcW w:w="4428" w:type="dxa"/>
          </w:tcPr>
          <w:p w:rsidR="00B06466" w:rsidRDefault="00B06466" w:rsidP="00B06466">
            <w:r w:rsidRPr="00B06466">
              <w:t>Bba_R0040</w:t>
            </w:r>
          </w:p>
        </w:tc>
      </w:tr>
      <w:tr w:rsidR="00B06466">
        <w:tc>
          <w:tcPr>
            <w:tcW w:w="4428" w:type="dxa"/>
          </w:tcPr>
          <w:p w:rsidR="00B06466" w:rsidRDefault="00B06466" w:rsidP="00B06466">
            <w:proofErr w:type="spellStart"/>
            <w:r w:rsidRPr="00B06466">
              <w:t>Inducable</w:t>
            </w:r>
            <w:proofErr w:type="spellEnd"/>
            <w:r w:rsidRPr="00B06466">
              <w:t xml:space="preserve"> </w:t>
            </w:r>
            <w:proofErr w:type="spellStart"/>
            <w:r w:rsidRPr="00B06466">
              <w:t>pBad</w:t>
            </w:r>
            <w:proofErr w:type="spellEnd"/>
            <w:r w:rsidRPr="00B06466">
              <w:t>/</w:t>
            </w:r>
            <w:proofErr w:type="spellStart"/>
            <w:r w:rsidRPr="00B06466">
              <w:t>araC</w:t>
            </w:r>
            <w:proofErr w:type="spellEnd"/>
            <w:r w:rsidRPr="00B06466">
              <w:t xml:space="preserve"> </w:t>
            </w:r>
            <w:proofErr w:type="spellStart"/>
            <w:r w:rsidRPr="00B06466">
              <w:t>promotor</w:t>
            </w:r>
            <w:proofErr w:type="spellEnd"/>
          </w:p>
        </w:tc>
        <w:tc>
          <w:tcPr>
            <w:tcW w:w="4428" w:type="dxa"/>
          </w:tcPr>
          <w:p w:rsidR="00B06466" w:rsidRDefault="00B06466" w:rsidP="00B06466">
            <w:pPr>
              <w:tabs>
                <w:tab w:val="left" w:pos="1232"/>
              </w:tabs>
            </w:pPr>
            <w:r w:rsidRPr="00B06466">
              <w:t>Bba_I0500</w:t>
            </w:r>
          </w:p>
        </w:tc>
      </w:tr>
      <w:tr w:rsidR="00B06466">
        <w:tc>
          <w:tcPr>
            <w:tcW w:w="4428" w:type="dxa"/>
          </w:tcPr>
          <w:p w:rsidR="00B06466" w:rsidRDefault="00B06466" w:rsidP="00B06466">
            <w:r w:rsidRPr="00B06466">
              <w:t>Green fluorescent protein</w:t>
            </w:r>
          </w:p>
        </w:tc>
        <w:tc>
          <w:tcPr>
            <w:tcW w:w="4428" w:type="dxa"/>
          </w:tcPr>
          <w:p w:rsidR="00B06466" w:rsidRDefault="00B06466" w:rsidP="00B06466">
            <w:r w:rsidRPr="00B06466">
              <w:t>Bba_E0040</w:t>
            </w:r>
          </w:p>
        </w:tc>
      </w:tr>
    </w:tbl>
    <w:p w:rsidR="00B06466" w:rsidRDefault="00B06466" w:rsidP="00BE1A23">
      <w:pPr>
        <w:spacing w:line="480" w:lineRule="auto"/>
      </w:pPr>
    </w:p>
    <w:p w:rsidR="00B06466" w:rsidRDefault="00B06466" w:rsidP="00BE1A23">
      <w:pPr>
        <w:spacing w:line="480" w:lineRule="auto"/>
      </w:pPr>
    </w:p>
    <w:p w:rsidR="00582F51" w:rsidRPr="00BE1A23" w:rsidRDefault="00B06466" w:rsidP="00B06466">
      <w:pPr>
        <w:spacing w:line="480" w:lineRule="auto"/>
        <w:jc w:val="center"/>
      </w:pPr>
      <w:r w:rsidRPr="00B06466">
        <w:rPr>
          <w:noProof/>
        </w:rPr>
        <w:drawing>
          <wp:inline distT="0" distB="0" distL="0" distR="0">
            <wp:extent cx="5486400" cy="455295"/>
            <wp:effectExtent l="25400" t="0" r="0" b="0"/>
            <wp:docPr id="4" name="O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527571" cy="707886"/>
                      <a:chOff x="304800" y="5311914"/>
                      <a:chExt cx="8527571" cy="707886"/>
                    </a:xfrm>
                  </a:grpSpPr>
                  <a:sp>
                    <a:nvSpPr>
                      <a:cNvPr id="13" name="Rectangle 12"/>
                      <a:cNvSpPr/>
                    </a:nvSpPr>
                    <a:spPr>
                      <a:xfrm>
                        <a:off x="304800" y="5311914"/>
                        <a:ext cx="1676400" cy="685800"/>
                      </a:xfrm>
                      <a:prstGeom prst="rect">
                        <a:avLst/>
                      </a:prstGeom>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3">
                          <a:shade val="50000"/>
                        </a:schemeClr>
                      </a:lnRef>
                      <a:fillRef idx="1">
                        <a:schemeClr val="accent3"/>
                      </a:fillRef>
                      <a:effectRef idx="0">
                        <a:schemeClr val="accent3"/>
                      </a:effectRef>
                      <a:fontRef idx="minor">
                        <a:schemeClr val="lt1"/>
                      </a:fontRef>
                    </a:style>
                  </a:sp>
                  <a:sp>
                    <a:nvSpPr>
                      <a:cNvPr id="14" name="Rectangle 13"/>
                      <a:cNvSpPr/>
                    </a:nvSpPr>
                    <a:spPr>
                      <a:xfrm>
                        <a:off x="2286000" y="5311914"/>
                        <a:ext cx="3505200" cy="685800"/>
                      </a:xfrm>
                      <a:prstGeom prst="rect">
                        <a:avLst/>
                      </a:prstGeom>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5" name="Rectangle 14"/>
                      <a:cNvSpPr/>
                    </a:nvSpPr>
                    <a:spPr>
                      <a:xfrm>
                        <a:off x="6019800" y="5311914"/>
                        <a:ext cx="2514600" cy="685800"/>
                      </a:xfrm>
                      <a:prstGeom prst="rect">
                        <a:avLst/>
                      </a:prstGeom>
                    </a:spPr>
                    <a:txSp>
                      <a:txBody>
                        <a:bodyPr rtlCol="0" anchor="ctr"/>
                        <a:lstStyle>
                          <a:defPPr>
                            <a:defRPr lang="en-US"/>
                          </a:defPPr>
                          <a:lvl1pPr marL="0" algn="l" defTabSz="457200" rtl="0" eaLnBrk="1" latinLnBrk="0" hangingPunct="1">
                            <a:defRPr sz="1800" kern="1200">
                              <a:solidFill>
                                <a:schemeClr val="dk1"/>
                              </a:solidFill>
                              <a:latin typeface="+mn-lt"/>
                              <a:ea typeface="+mn-ea"/>
                              <a:cs typeface="+mn-cs"/>
                            </a:defRPr>
                          </a:lvl1pPr>
                          <a:lvl2pPr marL="457200" algn="l" defTabSz="457200" rtl="0" eaLnBrk="1" latinLnBrk="0" hangingPunct="1">
                            <a:defRPr sz="1800" kern="1200">
                              <a:solidFill>
                                <a:schemeClr val="dk1"/>
                              </a:solidFill>
                              <a:latin typeface="+mn-lt"/>
                              <a:ea typeface="+mn-ea"/>
                              <a:cs typeface="+mn-cs"/>
                            </a:defRPr>
                          </a:lvl2pPr>
                          <a:lvl3pPr marL="914400" algn="l" defTabSz="457200" rtl="0" eaLnBrk="1" latinLnBrk="0" hangingPunct="1">
                            <a:defRPr sz="1800" kern="1200">
                              <a:solidFill>
                                <a:schemeClr val="dk1"/>
                              </a:solidFill>
                              <a:latin typeface="+mn-lt"/>
                              <a:ea typeface="+mn-ea"/>
                              <a:cs typeface="+mn-cs"/>
                            </a:defRPr>
                          </a:lvl3pPr>
                          <a:lvl4pPr marL="1371600" algn="l" defTabSz="457200" rtl="0" eaLnBrk="1" latinLnBrk="0" hangingPunct="1">
                            <a:defRPr sz="1800" kern="1200">
                              <a:solidFill>
                                <a:schemeClr val="dk1"/>
                              </a:solidFill>
                              <a:latin typeface="+mn-lt"/>
                              <a:ea typeface="+mn-ea"/>
                              <a:cs typeface="+mn-cs"/>
                            </a:defRPr>
                          </a:lvl4pPr>
                          <a:lvl5pPr marL="1828800" algn="l" defTabSz="457200" rtl="0" eaLnBrk="1" latinLnBrk="0" hangingPunct="1">
                            <a:defRPr sz="1800" kern="1200">
                              <a:solidFill>
                                <a:schemeClr val="dk1"/>
                              </a:solidFill>
                              <a:latin typeface="+mn-lt"/>
                              <a:ea typeface="+mn-ea"/>
                              <a:cs typeface="+mn-cs"/>
                            </a:defRPr>
                          </a:lvl5pPr>
                          <a:lvl6pPr marL="2286000" algn="l" defTabSz="457200" rtl="0" eaLnBrk="1" latinLnBrk="0" hangingPunct="1">
                            <a:defRPr sz="1800" kern="1200">
                              <a:solidFill>
                                <a:schemeClr val="dk1"/>
                              </a:solidFill>
                              <a:latin typeface="+mn-lt"/>
                              <a:ea typeface="+mn-ea"/>
                              <a:cs typeface="+mn-cs"/>
                            </a:defRPr>
                          </a:lvl6pPr>
                          <a:lvl7pPr marL="2743200" algn="l" defTabSz="457200" rtl="0" eaLnBrk="1" latinLnBrk="0" hangingPunct="1">
                            <a:defRPr sz="1800" kern="1200">
                              <a:solidFill>
                                <a:schemeClr val="dk1"/>
                              </a:solidFill>
                              <a:latin typeface="+mn-lt"/>
                              <a:ea typeface="+mn-ea"/>
                              <a:cs typeface="+mn-cs"/>
                            </a:defRPr>
                          </a:lvl7pPr>
                          <a:lvl8pPr marL="3200400" algn="l" defTabSz="457200" rtl="0" eaLnBrk="1" latinLnBrk="0" hangingPunct="1">
                            <a:defRPr sz="1800" kern="1200">
                              <a:solidFill>
                                <a:schemeClr val="dk1"/>
                              </a:solidFill>
                              <a:latin typeface="+mn-lt"/>
                              <a:ea typeface="+mn-ea"/>
                              <a:cs typeface="+mn-cs"/>
                            </a:defRPr>
                          </a:lvl8pPr>
                          <a:lvl9pPr marL="3657600" algn="l" defTabSz="457200" rtl="0" eaLnBrk="1" latinLnBrk="0" hangingPunct="1">
                            <a:defRPr sz="1800" kern="1200">
                              <a:solidFill>
                                <a:schemeClr val="dk1"/>
                              </a:solidFill>
                              <a:latin typeface="+mn-lt"/>
                              <a:ea typeface="+mn-ea"/>
                              <a:cs typeface="+mn-cs"/>
                            </a:defRPr>
                          </a:lvl9pPr>
                        </a:lstStyle>
                        <a:p>
                          <a:pPr algn="ctr"/>
                          <a:endParaRPr lang="en-US"/>
                        </a:p>
                      </a:txBody>
                      <a:useSpRect/>
                    </a:txSp>
                    <a:style>
                      <a:lnRef idx="1">
                        <a:schemeClr val="accent3"/>
                      </a:lnRef>
                      <a:fillRef idx="2">
                        <a:schemeClr val="accent3"/>
                      </a:fillRef>
                      <a:effectRef idx="1">
                        <a:schemeClr val="accent3"/>
                      </a:effectRef>
                      <a:fontRef idx="minor">
                        <a:schemeClr val="dk1"/>
                      </a:fontRef>
                    </a:style>
                  </a:sp>
                  <a:cxnSp>
                    <a:nvCxnSpPr>
                      <a:cNvPr id="16" name="Straight Connector 15"/>
                      <a:cNvCxnSpPr>
                        <a:endCxn id="14" idx="1"/>
                      </a:cNvCxnSpPr>
                    </a:nvCxnSpPr>
                    <a:spPr>
                      <a:xfrm>
                        <a:off x="1981200" y="5654814"/>
                        <a:ext cx="304800" cy="1588"/>
                      </a:xfrm>
                      <a:prstGeom prst="line">
                        <a:avLst/>
                      </a:prstGeom>
                    </a:spPr>
                    <a:style>
                      <a:lnRef idx="2">
                        <a:schemeClr val="dk1"/>
                      </a:lnRef>
                      <a:fillRef idx="0">
                        <a:schemeClr val="dk1"/>
                      </a:fillRef>
                      <a:effectRef idx="1">
                        <a:schemeClr val="dk1"/>
                      </a:effectRef>
                      <a:fontRef idx="minor">
                        <a:schemeClr val="tx1"/>
                      </a:fontRef>
                    </a:style>
                  </a:cxnSp>
                  <a:cxnSp>
                    <a:nvCxnSpPr>
                      <a:cNvPr id="17" name="Straight Connector 16"/>
                      <a:cNvCxnSpPr>
                        <a:stCxn id="14" idx="3"/>
                        <a:endCxn id="15" idx="1"/>
                      </a:cNvCxnSpPr>
                    </a:nvCxnSpPr>
                    <a:spPr>
                      <a:xfrm>
                        <a:off x="5791200" y="5654814"/>
                        <a:ext cx="228600" cy="1588"/>
                      </a:xfrm>
                      <a:prstGeom prst="line">
                        <a:avLst/>
                      </a:prstGeom>
                    </a:spPr>
                    <a:style>
                      <a:lnRef idx="2">
                        <a:schemeClr val="dk1"/>
                      </a:lnRef>
                      <a:fillRef idx="0">
                        <a:schemeClr val="dk1"/>
                      </a:fillRef>
                      <a:effectRef idx="1">
                        <a:schemeClr val="dk1"/>
                      </a:effectRef>
                      <a:fontRef idx="minor">
                        <a:schemeClr val="tx1"/>
                      </a:fontRef>
                    </a:style>
                  </a:cxnSp>
                  <a:sp>
                    <a:nvSpPr>
                      <a:cNvPr id="18" name="Rectangle 17"/>
                      <a:cNvSpPr/>
                    </a:nvSpPr>
                    <a:spPr>
                      <a:xfrm>
                        <a:off x="381000" y="5388114"/>
                        <a:ext cx="1600200" cy="461665"/>
                      </a:xfrm>
                      <a:prstGeom prst="rect">
                        <a:avLst/>
                      </a:prstGeom>
                      <a:noFill/>
                    </a:spPr>
                    <a:txSp>
                      <a:txBody>
                        <a:bodyPr wrap="square" lIns="91440" tIns="45720" rIns="91440" bIns="4572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b="1" dirty="0" smtClean="0">
                              <a:ln w="10541" cmpd="sng">
                                <a:solidFill>
                                  <a:srgbClr val="7D7D7D">
                                    <a:tint val="100000"/>
                                    <a:shade val="100000"/>
                                    <a:satMod val="110000"/>
                                  </a:srgbClr>
                                </a:solidFill>
                                <a:prstDash val="solid"/>
                              </a:ln>
                              <a:solidFill>
                                <a:schemeClr val="bg1">
                                  <a:lumMod val="95000"/>
                                </a:schemeClr>
                              </a:solidFill>
                            </a:rPr>
                            <a:t>(R0040) </a:t>
                          </a:r>
                          <a:r>
                            <a:rPr lang="en-US" sz="1200" b="1" dirty="0" err="1" smtClean="0">
                              <a:ln w="10541" cmpd="sng">
                                <a:solidFill>
                                  <a:srgbClr val="7D7D7D">
                                    <a:tint val="100000"/>
                                    <a:shade val="100000"/>
                                    <a:satMod val="110000"/>
                                  </a:srgbClr>
                                </a:solidFill>
                                <a:prstDash val="solid"/>
                              </a:ln>
                              <a:solidFill>
                                <a:schemeClr val="bg1">
                                  <a:lumMod val="95000"/>
                                </a:schemeClr>
                              </a:solidFill>
                            </a:rPr>
                            <a:t>TetR</a:t>
                          </a:r>
                          <a:r>
                            <a:rPr lang="en-US" sz="1200" b="1" dirty="0" smtClean="0">
                              <a:ln w="10541" cmpd="sng">
                                <a:solidFill>
                                  <a:srgbClr val="7D7D7D">
                                    <a:tint val="100000"/>
                                    <a:shade val="100000"/>
                                    <a:satMod val="110000"/>
                                  </a:srgbClr>
                                </a:solidFill>
                                <a:prstDash val="solid"/>
                              </a:ln>
                              <a:solidFill>
                                <a:schemeClr val="bg1">
                                  <a:lumMod val="95000"/>
                                </a:schemeClr>
                              </a:solidFill>
                            </a:rPr>
                            <a:t> </a:t>
                          </a:r>
                          <a:r>
                            <a:rPr lang="en-US" sz="1200" b="1" dirty="0" err="1" smtClean="0">
                              <a:ln w="10541" cmpd="sng">
                                <a:solidFill>
                                  <a:srgbClr val="7D7D7D">
                                    <a:tint val="100000"/>
                                    <a:shade val="100000"/>
                                    <a:satMod val="110000"/>
                                  </a:srgbClr>
                                </a:solidFill>
                                <a:prstDash val="solid"/>
                              </a:ln>
                              <a:solidFill>
                                <a:schemeClr val="bg1">
                                  <a:lumMod val="95000"/>
                                </a:schemeClr>
                              </a:solidFill>
                            </a:rPr>
                            <a:t>Repressable</a:t>
                          </a:r>
                          <a:r>
                            <a:rPr lang="en-US" sz="1200" b="1" dirty="0" smtClean="0">
                              <a:ln w="10541" cmpd="sng">
                                <a:solidFill>
                                  <a:srgbClr val="7D7D7D">
                                    <a:tint val="100000"/>
                                    <a:shade val="100000"/>
                                    <a:satMod val="110000"/>
                                  </a:srgbClr>
                                </a:solidFill>
                                <a:prstDash val="solid"/>
                              </a:ln>
                              <a:solidFill>
                                <a:schemeClr val="bg1">
                                  <a:lumMod val="95000"/>
                                </a:schemeClr>
                              </a:solidFill>
                            </a:rPr>
                            <a:t> </a:t>
                          </a:r>
                          <a:r>
                            <a:rPr lang="en-US" sz="1200" b="1" dirty="0" err="1" smtClean="0">
                              <a:ln w="10541" cmpd="sng">
                                <a:solidFill>
                                  <a:srgbClr val="7D7D7D">
                                    <a:tint val="100000"/>
                                    <a:shade val="100000"/>
                                    <a:satMod val="110000"/>
                                  </a:srgbClr>
                                </a:solidFill>
                                <a:prstDash val="solid"/>
                              </a:ln>
                              <a:solidFill>
                                <a:schemeClr val="bg1">
                                  <a:lumMod val="95000"/>
                                </a:schemeClr>
                              </a:solidFill>
                            </a:rPr>
                            <a:t>Promotor</a:t>
                          </a:r>
                          <a:endParaRPr lang="en-US" sz="1200" b="1" cap="none" spc="0" dirty="0">
                            <a:ln w="10541" cmpd="sng">
                              <a:solidFill>
                                <a:srgbClr val="7D7D7D">
                                  <a:tint val="100000"/>
                                  <a:shade val="100000"/>
                                  <a:satMod val="110000"/>
                                </a:srgbClr>
                              </a:solidFill>
                              <a:prstDash val="solid"/>
                            </a:ln>
                            <a:solidFill>
                              <a:schemeClr val="bg1">
                                <a:lumMod val="95000"/>
                              </a:schemeClr>
                            </a:solidFill>
                            <a:effectLst/>
                          </a:endParaRPr>
                        </a:p>
                      </a:txBody>
                      <a:useSpRect/>
                    </a:txSp>
                  </a:sp>
                  <a:sp>
                    <a:nvSpPr>
                      <a:cNvPr id="19" name="Rectangle 18"/>
                      <a:cNvSpPr/>
                    </a:nvSpPr>
                    <a:spPr>
                      <a:xfrm>
                        <a:off x="2667000" y="5311914"/>
                        <a:ext cx="2592761" cy="707886"/>
                      </a:xfrm>
                      <a:prstGeom prst="rect">
                        <a:avLst/>
                      </a:prstGeom>
                      <a:noFill/>
                    </a:spPr>
                    <a:txSp>
                      <a:txBody>
                        <a:bodyPr wrap="none" lIns="91440" tIns="45720" rIns="91440" bIns="4572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4000" b="1" spc="50" dirty="0" err="1" smtClean="0">
                              <a:ln w="13500">
                                <a:solidFill>
                                  <a:schemeClr val="accent1">
                                    <a:shade val="2500"/>
                                    <a:alpha val="6500"/>
                                  </a:schemeClr>
                                </a:solidFill>
                                <a:prstDash val="solid"/>
                              </a:ln>
                              <a:solidFill>
                                <a:schemeClr val="accent1">
                                  <a:tint val="3000"/>
                                  <a:alpha val="95000"/>
                                </a:schemeClr>
                              </a:solidFill>
                              <a:effectLst>
                                <a:innerShdw blurRad="50900" dist="38500" dir="13500000">
                                  <a:srgbClr val="000000">
                                    <a:alpha val="60000"/>
                                  </a:srgbClr>
                                </a:innerShdw>
                              </a:effectLst>
                            </a:rPr>
                            <a:t>FaQR</a:t>
                          </a:r>
                          <a:r>
                            <a:rPr lang="en-US" sz="4000" b="1" spc="50" dirty="0" smtClean="0">
                              <a:ln w="13500">
                                <a:solidFill>
                                  <a:schemeClr val="accent1">
                                    <a:shade val="2500"/>
                                    <a:alpha val="6500"/>
                                  </a:schemeClr>
                                </a:solidFill>
                                <a:prstDash val="solid"/>
                              </a:ln>
                              <a:solidFill>
                                <a:schemeClr val="accent1">
                                  <a:tint val="3000"/>
                                  <a:alpha val="95000"/>
                                </a:schemeClr>
                              </a:solidFill>
                              <a:effectLst>
                                <a:innerShdw blurRad="50900" dist="38500" dir="13500000">
                                  <a:srgbClr val="000000">
                                    <a:alpha val="60000"/>
                                  </a:srgbClr>
                                </a:innerShdw>
                              </a:effectLst>
                            </a:rPr>
                            <a:t> Gene</a:t>
                          </a:r>
                          <a:endParaRPr lang="en-US" sz="4000" b="1" cap="none" spc="50" dirty="0">
                            <a:ln w="13500">
                              <a:solidFill>
                                <a:schemeClr val="accent1">
                                  <a:shade val="2500"/>
                                  <a:alpha val="6500"/>
                                </a:schemeClr>
                              </a:solidFill>
                              <a:prstDash val="solid"/>
                            </a:ln>
                            <a:solidFill>
                              <a:schemeClr val="accent1">
                                <a:tint val="3000"/>
                                <a:alpha val="95000"/>
                              </a:schemeClr>
                            </a:solidFill>
                            <a:effectLst>
                              <a:innerShdw blurRad="50900" dist="38500" dir="13500000">
                                <a:srgbClr val="000000">
                                  <a:alpha val="60000"/>
                                </a:srgbClr>
                              </a:innerShdw>
                            </a:effectLst>
                          </a:endParaRPr>
                        </a:p>
                      </a:txBody>
                      <a:useSpRect/>
                    </a:txSp>
                  </a:sp>
                  <a:sp>
                    <a:nvSpPr>
                      <a:cNvPr id="20" name="Rectangle 19"/>
                      <a:cNvSpPr/>
                    </a:nvSpPr>
                    <a:spPr>
                      <a:xfrm>
                        <a:off x="5715000" y="5311914"/>
                        <a:ext cx="3117371" cy="584775"/>
                      </a:xfrm>
                      <a:prstGeom prst="rect">
                        <a:avLst/>
                      </a:prstGeom>
                      <a:noFill/>
                    </a:spPr>
                    <a:txSp>
                      <a:txBody>
                        <a:bodyPr wrap="square" lIns="91440" tIns="45720" rIns="91440" bIns="4572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3200" b="1" cap="none" spc="0" dirty="0" smtClean="0">
                              <a:ln w="10541" cmpd="sng">
                                <a:solidFill>
                                  <a:srgbClr val="7D7D7D">
                                    <a:tint val="100000"/>
                                    <a:shade val="100000"/>
                                    <a:satMod val="110000"/>
                                  </a:srgbClr>
                                </a:solidFill>
                                <a:prstDash val="solid"/>
                              </a:ln>
                              <a:gradFill>
                                <a:gsLst>
                                  <a:gs pos="0">
                                    <a:srgbClr val="FFFFFF">
                                      <a:tint val="40000"/>
                                      <a:satMod val="250000"/>
                                    </a:srgbClr>
                                  </a:gs>
                                  <a:gs pos="9000">
                                    <a:srgbClr val="FFFFFF">
                                      <a:tint val="52000"/>
                                      <a:satMod val="300000"/>
                                    </a:srgbClr>
                                  </a:gs>
                                  <a:gs pos="50000">
                                    <a:srgbClr val="FFFFFF">
                                      <a:shade val="20000"/>
                                      <a:satMod val="300000"/>
                                    </a:srgbClr>
                                  </a:gs>
                                  <a:gs pos="79000">
                                    <a:srgbClr val="FFFFFF">
                                      <a:tint val="52000"/>
                                      <a:satMod val="300000"/>
                                    </a:srgbClr>
                                  </a:gs>
                                  <a:gs pos="100000">
                                    <a:srgbClr val="FFFFFF">
                                      <a:tint val="40000"/>
                                      <a:satMod val="250000"/>
                                    </a:srgbClr>
                                  </a:gs>
                                </a:gsLst>
                                <a:lin ang="5400000"/>
                              </a:gradFill>
                              <a:effectLst/>
                            </a:rPr>
                            <a:t>(E0040) GFP</a:t>
                          </a:r>
                          <a:endParaRPr lang="en-US" sz="3200" b="1" cap="none" spc="0" dirty="0">
                            <a:ln w="10541" cmpd="sng">
                              <a:solidFill>
                                <a:srgbClr val="7D7D7D">
                                  <a:tint val="100000"/>
                                  <a:shade val="100000"/>
                                  <a:satMod val="110000"/>
                                </a:srgbClr>
                              </a:solidFill>
                              <a:prstDash val="solid"/>
                            </a:ln>
                            <a:gradFill>
                              <a:gsLst>
                                <a:gs pos="0">
                                  <a:srgbClr val="FFFFFF">
                                    <a:tint val="40000"/>
                                    <a:satMod val="250000"/>
                                  </a:srgbClr>
                                </a:gs>
                                <a:gs pos="9000">
                                  <a:srgbClr val="FFFFFF">
                                    <a:tint val="52000"/>
                                    <a:satMod val="300000"/>
                                  </a:srgbClr>
                                </a:gs>
                                <a:gs pos="50000">
                                  <a:srgbClr val="FFFFFF">
                                    <a:shade val="20000"/>
                                    <a:satMod val="300000"/>
                                  </a:srgbClr>
                                </a:gs>
                                <a:gs pos="79000">
                                  <a:srgbClr val="FFFFFF">
                                    <a:tint val="52000"/>
                                    <a:satMod val="300000"/>
                                  </a:srgbClr>
                                </a:gs>
                                <a:gs pos="100000">
                                  <a:srgbClr val="FFFFFF">
                                    <a:tint val="40000"/>
                                    <a:satMod val="250000"/>
                                  </a:srgbClr>
                                </a:gs>
                              </a:gsLst>
                              <a:lin ang="5400000"/>
                            </a:gradFill>
                            <a:effectLst/>
                          </a:endParaRPr>
                        </a:p>
                      </a:txBody>
                      <a:useSpRect/>
                    </a:txSp>
                  </a:sp>
                </lc:lockedCanvas>
              </a:graphicData>
            </a:graphic>
          </wp:inline>
        </w:drawing>
      </w:r>
    </w:p>
    <w:p w:rsidR="00B06466" w:rsidRDefault="00B06466" w:rsidP="00B06466">
      <w:pPr>
        <w:spacing w:line="480" w:lineRule="auto"/>
        <w:jc w:val="center"/>
      </w:pPr>
      <w:r w:rsidRPr="00B06466">
        <w:rPr>
          <w:b/>
        </w:rPr>
        <w:t>Figure 2</w:t>
      </w:r>
      <w:r>
        <w:t xml:space="preserve">.  </w:t>
      </w:r>
      <w:proofErr w:type="spellStart"/>
      <w:proofErr w:type="gramStart"/>
      <w:r w:rsidRPr="00DA2F49">
        <w:rPr>
          <w:i/>
        </w:rPr>
        <w:t>FaQR</w:t>
      </w:r>
      <w:proofErr w:type="spellEnd"/>
      <w:r w:rsidRPr="00DA2F49">
        <w:rPr>
          <w:i/>
        </w:rPr>
        <w:t xml:space="preserve"> </w:t>
      </w:r>
      <w:r>
        <w:t>gene device.</w:t>
      </w:r>
      <w:proofErr w:type="gramEnd"/>
    </w:p>
    <w:p w:rsidR="00BB25D6" w:rsidRDefault="00BB25D6" w:rsidP="00E50735">
      <w:pPr>
        <w:spacing w:line="480" w:lineRule="auto"/>
        <w:rPr>
          <w:b/>
        </w:rPr>
      </w:pPr>
    </w:p>
    <w:p w:rsidR="00BA752D" w:rsidRDefault="00BA752D" w:rsidP="00E50735">
      <w:pPr>
        <w:spacing w:line="480" w:lineRule="auto"/>
        <w:rPr>
          <w:b/>
        </w:rPr>
      </w:pPr>
    </w:p>
    <w:p w:rsidR="00531F4E" w:rsidRDefault="00A30C1E" w:rsidP="00E50735">
      <w:pPr>
        <w:spacing w:line="480" w:lineRule="auto"/>
        <w:rPr>
          <w:b/>
        </w:rPr>
      </w:pPr>
      <w:r>
        <w:rPr>
          <w:b/>
        </w:rPr>
        <w:t>Materials and Methods</w:t>
      </w:r>
    </w:p>
    <w:p w:rsidR="00E50735" w:rsidRDefault="00531F4E" w:rsidP="00E50735">
      <w:pPr>
        <w:spacing w:line="480" w:lineRule="auto"/>
        <w:rPr>
          <w:b/>
        </w:rPr>
      </w:pPr>
      <w:r>
        <w:rPr>
          <w:b/>
        </w:rPr>
        <w:t xml:space="preserve">1)  </w:t>
      </w:r>
      <w:r w:rsidR="00DE1974">
        <w:rPr>
          <w:b/>
        </w:rPr>
        <w:t>Tissue Acquisition</w:t>
      </w:r>
    </w:p>
    <w:p w:rsidR="00DE1974" w:rsidRDefault="00E50735" w:rsidP="00FC6E6C">
      <w:pPr>
        <w:spacing w:line="480" w:lineRule="auto"/>
      </w:pPr>
      <w:r>
        <w:rPr>
          <w:b/>
        </w:rPr>
        <w:tab/>
      </w:r>
      <w:r>
        <w:t xml:space="preserve">Strawberry tissue </w:t>
      </w:r>
      <w:r w:rsidR="00DA2F49">
        <w:t xml:space="preserve">was </w:t>
      </w:r>
      <w:r>
        <w:t>obta</w:t>
      </w:r>
      <w:r w:rsidR="009666F6">
        <w:t xml:space="preserve">ined </w:t>
      </w:r>
      <w:r w:rsidR="00037E6D">
        <w:t xml:space="preserve">(see Appendix I: Respective Specimens examined for voucher information) </w:t>
      </w:r>
      <w:r w:rsidR="009666F6">
        <w:t>and labeled for experimental purposes</w:t>
      </w:r>
      <w:r>
        <w:t xml:space="preserve"> as (1) </w:t>
      </w:r>
      <w:proofErr w:type="spellStart"/>
      <w:r>
        <w:rPr>
          <w:i/>
        </w:rPr>
        <w:t>Fragaria</w:t>
      </w:r>
      <w:proofErr w:type="spellEnd"/>
      <w:r>
        <w:rPr>
          <w:i/>
        </w:rPr>
        <w:t xml:space="preserve"> x </w:t>
      </w:r>
      <w:proofErr w:type="spellStart"/>
      <w:r>
        <w:rPr>
          <w:i/>
        </w:rPr>
        <w:t>ananassa</w:t>
      </w:r>
      <w:proofErr w:type="spellEnd"/>
      <w:r>
        <w:rPr>
          <w:i/>
        </w:rPr>
        <w:t xml:space="preserve"> </w:t>
      </w:r>
      <w:r>
        <w:t xml:space="preserve">var. Jewel, (2) </w:t>
      </w:r>
      <w:proofErr w:type="spellStart"/>
      <w:r>
        <w:rPr>
          <w:i/>
        </w:rPr>
        <w:t>Fragaria</w:t>
      </w:r>
      <w:proofErr w:type="spellEnd"/>
      <w:r>
        <w:rPr>
          <w:i/>
        </w:rPr>
        <w:t xml:space="preserve"> x </w:t>
      </w:r>
      <w:proofErr w:type="spellStart"/>
      <w:r>
        <w:rPr>
          <w:i/>
        </w:rPr>
        <w:t>ananassa</w:t>
      </w:r>
      <w:proofErr w:type="spellEnd"/>
      <w:r>
        <w:rPr>
          <w:i/>
        </w:rPr>
        <w:t xml:space="preserve"> </w:t>
      </w:r>
      <w:r>
        <w:t xml:space="preserve">var. Jewel, (3) </w:t>
      </w:r>
      <w:proofErr w:type="spellStart"/>
      <w:r>
        <w:rPr>
          <w:i/>
        </w:rPr>
        <w:t>Fragaria</w:t>
      </w:r>
      <w:proofErr w:type="spellEnd"/>
      <w:r>
        <w:rPr>
          <w:i/>
        </w:rPr>
        <w:t xml:space="preserve"> x </w:t>
      </w:r>
      <w:proofErr w:type="spellStart"/>
      <w:r>
        <w:rPr>
          <w:i/>
        </w:rPr>
        <w:t>ananassa</w:t>
      </w:r>
      <w:proofErr w:type="spellEnd"/>
      <w:r>
        <w:rPr>
          <w:i/>
        </w:rPr>
        <w:t xml:space="preserve"> </w:t>
      </w:r>
      <w:r>
        <w:t xml:space="preserve">var. Cabot and (4) </w:t>
      </w:r>
      <w:proofErr w:type="spellStart"/>
      <w:r>
        <w:rPr>
          <w:i/>
        </w:rPr>
        <w:t>Fragaria</w:t>
      </w:r>
      <w:proofErr w:type="spellEnd"/>
      <w:r>
        <w:rPr>
          <w:i/>
        </w:rPr>
        <w:t xml:space="preserve"> x </w:t>
      </w:r>
      <w:proofErr w:type="spellStart"/>
      <w:r>
        <w:rPr>
          <w:i/>
        </w:rPr>
        <w:t>ananassa</w:t>
      </w:r>
      <w:proofErr w:type="spellEnd"/>
      <w:r>
        <w:rPr>
          <w:i/>
        </w:rPr>
        <w:t xml:space="preserve"> </w:t>
      </w:r>
      <w:r>
        <w:t xml:space="preserve">var. Mesabi.  Tissue 1 was obtained by Lees from </w:t>
      </w:r>
      <w:proofErr w:type="spellStart"/>
      <w:r>
        <w:t>Gerst</w:t>
      </w:r>
      <w:proofErr w:type="spellEnd"/>
      <w:r>
        <w:t xml:space="preserve"> Family farms and was dried in sterile silica gel.  Tiss</w:t>
      </w:r>
      <w:r w:rsidR="009666F6">
        <w:t>u</w:t>
      </w:r>
      <w:r w:rsidR="00993A84">
        <w:t>es 2-4 were obtained by Reut</w:t>
      </w:r>
      <w:r>
        <w:t>er from H</w:t>
      </w:r>
      <w:r w:rsidR="00FC6E6C">
        <w:t>e</w:t>
      </w:r>
      <w:r>
        <w:t>artland Farms and the fresh</w:t>
      </w:r>
      <w:r w:rsidR="009666F6">
        <w:t xml:space="preserve"> tissue was </w:t>
      </w:r>
      <w:r w:rsidR="00FC6E6C">
        <w:t>stored</w:t>
      </w:r>
      <w:r w:rsidR="009666F6">
        <w:t xml:space="preserve"> in </w:t>
      </w:r>
      <w:r w:rsidR="00FC6E6C">
        <w:t>Ziploc</w:t>
      </w:r>
      <w:r w:rsidR="009666F6">
        <w:t xml:space="preserve"> bags.</w:t>
      </w:r>
    </w:p>
    <w:p w:rsidR="009666F6" w:rsidRDefault="00531F4E" w:rsidP="00DE1974">
      <w:pPr>
        <w:spacing w:line="480" w:lineRule="auto"/>
      </w:pPr>
      <w:r>
        <w:rPr>
          <w:b/>
        </w:rPr>
        <w:t>2</w:t>
      </w:r>
      <w:r w:rsidR="000048CE">
        <w:rPr>
          <w:b/>
        </w:rPr>
        <w:t xml:space="preserve">) </w:t>
      </w:r>
      <w:r w:rsidR="00DE1974">
        <w:rPr>
          <w:b/>
        </w:rPr>
        <w:t>DNA Extraction</w:t>
      </w:r>
    </w:p>
    <w:p w:rsidR="00DE1974" w:rsidRDefault="009666F6" w:rsidP="00FC6E6C">
      <w:pPr>
        <w:spacing w:line="480" w:lineRule="auto"/>
        <w:rPr>
          <w:rFonts w:ascii="Cambria" w:hAnsi="Cambria"/>
        </w:rPr>
      </w:pPr>
      <w:r>
        <w:tab/>
      </w:r>
      <w:r w:rsidR="00DA2F49">
        <w:t>All</w:t>
      </w:r>
      <w:r w:rsidR="00FC6E6C">
        <w:t xml:space="preserve"> tissues were</w:t>
      </w:r>
      <w:r>
        <w:t xml:space="preserve"> ground using a mortar and pestle.  The fresh tissues were ground with </w:t>
      </w:r>
      <w:r w:rsidR="00FC6E6C">
        <w:t xml:space="preserve">the assistance of </w:t>
      </w:r>
      <w:r>
        <w:t xml:space="preserve">liquid nitrogen.  The DNA was extracted using the protocol of </w:t>
      </w:r>
      <w:r>
        <w:rPr>
          <w:i/>
        </w:rPr>
        <w:t xml:space="preserve">Mercado et al. </w:t>
      </w:r>
      <w:r w:rsidR="00DE1974">
        <w:t xml:space="preserve">(1999).  </w:t>
      </w:r>
      <w:r>
        <w:t xml:space="preserve">The </w:t>
      </w:r>
      <w:proofErr w:type="spellStart"/>
      <w:r>
        <w:t>RNase</w:t>
      </w:r>
      <w:proofErr w:type="spellEnd"/>
      <w:r>
        <w:t xml:space="preserve"> was not used while digesting.  </w:t>
      </w:r>
      <w:r w:rsidR="00563F85">
        <w:t xml:space="preserve">Final DNA products were </w:t>
      </w:r>
      <w:proofErr w:type="spellStart"/>
      <w:r w:rsidR="00563F85">
        <w:t>resuspended</w:t>
      </w:r>
      <w:proofErr w:type="spellEnd"/>
      <w:r w:rsidR="00563F85">
        <w:t xml:space="preserve"> in 50 </w:t>
      </w:r>
      <w:r w:rsidR="00DE1974">
        <w:rPr>
          <w:rFonts w:ascii="Cambria" w:hAnsi="Cambria"/>
        </w:rPr>
        <w:t>µl TE buffer</w:t>
      </w:r>
      <w:r w:rsidR="00531F4E">
        <w:rPr>
          <w:rFonts w:ascii="Cambria" w:hAnsi="Cambria"/>
        </w:rPr>
        <w:t xml:space="preserve"> [10 </w:t>
      </w:r>
      <w:proofErr w:type="spellStart"/>
      <w:r w:rsidR="00531F4E">
        <w:rPr>
          <w:rFonts w:ascii="Cambria" w:hAnsi="Cambria"/>
        </w:rPr>
        <w:t>mM</w:t>
      </w:r>
      <w:proofErr w:type="spellEnd"/>
      <w:r w:rsidR="00531F4E">
        <w:rPr>
          <w:rFonts w:ascii="Cambria" w:hAnsi="Cambria"/>
        </w:rPr>
        <w:t xml:space="preserve"> </w:t>
      </w:r>
      <w:proofErr w:type="spellStart"/>
      <w:r w:rsidR="00531F4E">
        <w:rPr>
          <w:rFonts w:ascii="Cambria" w:hAnsi="Cambria"/>
        </w:rPr>
        <w:t>tris-HCl</w:t>
      </w:r>
      <w:proofErr w:type="spellEnd"/>
      <w:r w:rsidR="00531F4E">
        <w:rPr>
          <w:rFonts w:ascii="Cambria" w:hAnsi="Cambria"/>
        </w:rPr>
        <w:t xml:space="preserve"> (pH 8.0) and 1 </w:t>
      </w:r>
      <w:proofErr w:type="spellStart"/>
      <w:r w:rsidR="00531F4E">
        <w:rPr>
          <w:rFonts w:ascii="Cambria" w:hAnsi="Cambria"/>
        </w:rPr>
        <w:t>mM</w:t>
      </w:r>
      <w:proofErr w:type="spellEnd"/>
      <w:r w:rsidR="00531F4E">
        <w:rPr>
          <w:rFonts w:ascii="Cambria" w:hAnsi="Cambria"/>
        </w:rPr>
        <w:t xml:space="preserve"> EDTA (pH 8.0)</w:t>
      </w:r>
      <w:r w:rsidR="00DE1974">
        <w:rPr>
          <w:rFonts w:ascii="Cambria" w:hAnsi="Cambria"/>
        </w:rPr>
        <w:t>.</w:t>
      </w:r>
    </w:p>
    <w:p w:rsidR="009666F6" w:rsidRPr="00DE1974" w:rsidRDefault="00531F4E" w:rsidP="00FC6E6C">
      <w:pPr>
        <w:spacing w:line="480" w:lineRule="auto"/>
        <w:rPr>
          <w:b/>
        </w:rPr>
      </w:pPr>
      <w:r>
        <w:rPr>
          <w:rFonts w:ascii="Cambria" w:hAnsi="Cambria"/>
          <w:b/>
        </w:rPr>
        <w:t>3</w:t>
      </w:r>
      <w:r w:rsidR="000048CE">
        <w:rPr>
          <w:rFonts w:ascii="Cambria" w:hAnsi="Cambria"/>
          <w:b/>
        </w:rPr>
        <w:t xml:space="preserve">) </w:t>
      </w:r>
      <w:r w:rsidR="00DE1974">
        <w:rPr>
          <w:rFonts w:ascii="Cambria" w:hAnsi="Cambria"/>
          <w:b/>
        </w:rPr>
        <w:t xml:space="preserve"> Restriction Enzyme Digestion</w:t>
      </w:r>
    </w:p>
    <w:p w:rsidR="00DE1974" w:rsidRDefault="009666F6" w:rsidP="00FC6E6C">
      <w:pPr>
        <w:spacing w:line="480" w:lineRule="auto"/>
      </w:pPr>
      <w:r>
        <w:tab/>
      </w:r>
      <w:r w:rsidR="00531F4E">
        <w:t>One</w:t>
      </w:r>
      <w:r w:rsidR="00563F85">
        <w:t xml:space="preserve"> </w:t>
      </w:r>
      <w:r w:rsidR="00531F4E">
        <w:rPr>
          <w:rFonts w:ascii="Cambria" w:hAnsi="Cambria"/>
        </w:rPr>
        <w:t>µg</w:t>
      </w:r>
      <w:r w:rsidR="00563F85">
        <w:rPr>
          <w:rFonts w:ascii="Cambria" w:hAnsi="Cambria"/>
        </w:rPr>
        <w:t xml:space="preserve"> of </w:t>
      </w:r>
      <w:r w:rsidR="00563F85">
        <w:t xml:space="preserve">DNA </w:t>
      </w:r>
      <w:r w:rsidR="00531F4E">
        <w:t>was</w:t>
      </w:r>
      <w:r w:rsidR="00563F85">
        <w:t xml:space="preserve"> restriction enzyme digested with 0.1 </w:t>
      </w:r>
      <w:r w:rsidR="00563F85">
        <w:rPr>
          <w:rFonts w:ascii="Cambria" w:hAnsi="Cambria"/>
        </w:rPr>
        <w:t xml:space="preserve">µl </w:t>
      </w:r>
      <w:r w:rsidR="00563F85" w:rsidRPr="00531F4E">
        <w:rPr>
          <w:i/>
        </w:rPr>
        <w:t>EcoR1</w:t>
      </w:r>
      <w:r w:rsidR="00531F4E" w:rsidRPr="00531F4E">
        <w:rPr>
          <w:i/>
        </w:rPr>
        <w:t xml:space="preserve"> </w:t>
      </w:r>
      <w:r w:rsidR="00531F4E">
        <w:t>(10 unit/</w:t>
      </w:r>
      <w:r w:rsidR="00531F4E">
        <w:rPr>
          <w:rFonts w:ascii="Cambria" w:hAnsi="Cambria"/>
        </w:rPr>
        <w:t>µl)</w:t>
      </w:r>
      <w:r w:rsidR="00563F85">
        <w:t xml:space="preserve">, 2 </w:t>
      </w:r>
      <w:r w:rsidR="00563F85">
        <w:rPr>
          <w:rFonts w:ascii="Cambria" w:hAnsi="Cambria"/>
        </w:rPr>
        <w:t xml:space="preserve">µl </w:t>
      </w:r>
      <w:r w:rsidR="00531F4E">
        <w:rPr>
          <w:rFonts w:ascii="Cambria" w:hAnsi="Cambria"/>
        </w:rPr>
        <w:t xml:space="preserve">(10 mg/ml) </w:t>
      </w:r>
      <w:proofErr w:type="spellStart"/>
      <w:r w:rsidR="00563F85">
        <w:rPr>
          <w:rFonts w:ascii="Cambria" w:hAnsi="Cambria"/>
        </w:rPr>
        <w:t>RNAase</w:t>
      </w:r>
      <w:proofErr w:type="spellEnd"/>
      <w:r w:rsidR="00563F85">
        <w:rPr>
          <w:rFonts w:ascii="Cambria" w:hAnsi="Cambria"/>
        </w:rPr>
        <w:t xml:space="preserve">, 1 µl </w:t>
      </w:r>
      <w:r w:rsidR="00531F4E">
        <w:rPr>
          <w:rFonts w:ascii="Cambria" w:hAnsi="Cambria"/>
        </w:rPr>
        <w:t>(10x)</w:t>
      </w:r>
      <w:r w:rsidR="00563F85">
        <w:rPr>
          <w:rFonts w:ascii="Cambria" w:hAnsi="Cambria"/>
        </w:rPr>
        <w:t xml:space="preserve"> buffer and 1.9 µl H</w:t>
      </w:r>
      <w:r w:rsidR="00563F85" w:rsidRPr="00563F85">
        <w:rPr>
          <w:rFonts w:ascii="Cambria" w:hAnsi="Cambria"/>
          <w:vertAlign w:val="subscript"/>
        </w:rPr>
        <w:t>2</w:t>
      </w:r>
      <w:r w:rsidR="00563F85">
        <w:rPr>
          <w:rFonts w:ascii="Cambria" w:hAnsi="Cambria"/>
        </w:rPr>
        <w:t xml:space="preserve">0 in a 37°C water bath for 15 minutes.  </w:t>
      </w:r>
      <w:r w:rsidR="00563F85">
        <w:t xml:space="preserve"> </w:t>
      </w:r>
    </w:p>
    <w:p w:rsidR="000048CE" w:rsidRDefault="00633A87" w:rsidP="00FC6E6C">
      <w:pPr>
        <w:spacing w:line="480" w:lineRule="auto"/>
        <w:rPr>
          <w:rFonts w:ascii="Cambria" w:hAnsi="Cambria"/>
          <w:b/>
        </w:rPr>
      </w:pPr>
      <w:r>
        <w:rPr>
          <w:rFonts w:ascii="Cambria" w:hAnsi="Cambria"/>
          <w:b/>
        </w:rPr>
        <w:t>4</w:t>
      </w:r>
      <w:r w:rsidR="000048CE">
        <w:rPr>
          <w:rFonts w:ascii="Cambria" w:hAnsi="Cambria"/>
          <w:b/>
        </w:rPr>
        <w:t>) Further Purification</w:t>
      </w:r>
    </w:p>
    <w:p w:rsidR="00633A87" w:rsidRDefault="000048CE" w:rsidP="0064333A">
      <w:pPr>
        <w:spacing w:line="480" w:lineRule="auto"/>
        <w:ind w:firstLine="720"/>
        <w:rPr>
          <w:rFonts w:ascii="Cambria" w:hAnsi="Cambria"/>
        </w:rPr>
      </w:pPr>
      <w:r>
        <w:t xml:space="preserve">A QIAGEN </w:t>
      </w:r>
      <w:proofErr w:type="spellStart"/>
      <w:r>
        <w:t>AlQuick</w:t>
      </w:r>
      <w:proofErr w:type="spellEnd"/>
      <w:r>
        <w:t xml:space="preserve"> PCR </w:t>
      </w:r>
      <w:proofErr w:type="spellStart"/>
      <w:r>
        <w:t>Puficiation</w:t>
      </w:r>
      <w:proofErr w:type="spellEnd"/>
      <w:r>
        <w:t xml:space="preserve"> Kit was used to purify genomic DNA.  The final product was eluted in 800 </w:t>
      </w:r>
      <w:r>
        <w:rPr>
          <w:rFonts w:ascii="Cambria" w:hAnsi="Cambria"/>
        </w:rPr>
        <w:t>µl Buffer AE.</w:t>
      </w:r>
    </w:p>
    <w:p w:rsidR="00633A87" w:rsidRDefault="00633A87" w:rsidP="00633A87">
      <w:pPr>
        <w:spacing w:line="480" w:lineRule="auto"/>
        <w:rPr>
          <w:b/>
        </w:rPr>
      </w:pPr>
      <w:r>
        <w:rPr>
          <w:b/>
        </w:rPr>
        <w:t xml:space="preserve">5) </w:t>
      </w:r>
      <w:proofErr w:type="spellStart"/>
      <w:r>
        <w:rPr>
          <w:b/>
        </w:rPr>
        <w:t>Agarose</w:t>
      </w:r>
      <w:proofErr w:type="spellEnd"/>
      <w:r>
        <w:rPr>
          <w:b/>
        </w:rPr>
        <w:t xml:space="preserve"> Gel</w:t>
      </w:r>
    </w:p>
    <w:p w:rsidR="00633A87" w:rsidRPr="0064333A" w:rsidRDefault="00633A87" w:rsidP="00633A87">
      <w:pPr>
        <w:spacing w:line="480" w:lineRule="auto"/>
      </w:pPr>
      <w:r>
        <w:rPr>
          <w:b/>
        </w:rPr>
        <w:tab/>
      </w:r>
      <w:r>
        <w:t xml:space="preserve">1.0 g </w:t>
      </w:r>
      <w:proofErr w:type="spellStart"/>
      <w:r>
        <w:t>agarose</w:t>
      </w:r>
      <w:proofErr w:type="spellEnd"/>
      <w:r>
        <w:t xml:space="preserve"> was boiled in 100 ml (1x) TBE buffer.  Once cooled, 2 </w:t>
      </w:r>
      <w:r>
        <w:rPr>
          <w:rFonts w:ascii="Cambria" w:hAnsi="Cambria"/>
        </w:rPr>
        <w:t xml:space="preserve">µl </w:t>
      </w:r>
      <w:proofErr w:type="spellStart"/>
      <w:r>
        <w:rPr>
          <w:rFonts w:ascii="Cambria" w:hAnsi="Cambria"/>
        </w:rPr>
        <w:t>EtBr</w:t>
      </w:r>
      <w:proofErr w:type="spellEnd"/>
      <w:r>
        <w:rPr>
          <w:rFonts w:ascii="Cambria" w:hAnsi="Cambria"/>
        </w:rPr>
        <w:t xml:space="preserve"> were swirled to mix.  The mixture was poured into a gel tray and allowed to set.  The chamber was filled with TBE buffer.  Gels were run at 150 volts for 30 minutes.</w:t>
      </w:r>
    </w:p>
    <w:p w:rsidR="000048CE" w:rsidRPr="0064333A" w:rsidRDefault="000048CE" w:rsidP="0064333A">
      <w:pPr>
        <w:spacing w:line="480" w:lineRule="auto"/>
        <w:ind w:firstLine="720"/>
        <w:rPr>
          <w:rFonts w:ascii="Cambria" w:hAnsi="Cambria"/>
        </w:rPr>
      </w:pPr>
    </w:p>
    <w:p w:rsidR="000048CE" w:rsidRDefault="00531F4E" w:rsidP="00FC6E6C">
      <w:pPr>
        <w:spacing w:line="480" w:lineRule="auto"/>
        <w:rPr>
          <w:rFonts w:ascii="Cambria" w:hAnsi="Cambria"/>
        </w:rPr>
      </w:pPr>
      <w:r>
        <w:rPr>
          <w:rFonts w:ascii="Cambria" w:hAnsi="Cambria"/>
          <w:b/>
        </w:rPr>
        <w:t>6</w:t>
      </w:r>
      <w:r w:rsidR="000048CE">
        <w:rPr>
          <w:rFonts w:ascii="Cambria" w:hAnsi="Cambria"/>
          <w:b/>
        </w:rPr>
        <w:t>) Primer Design</w:t>
      </w:r>
      <w:r w:rsidR="007E7DF4">
        <w:rPr>
          <w:rFonts w:ascii="Cambria" w:hAnsi="Cambria"/>
        </w:rPr>
        <w:tab/>
      </w:r>
    </w:p>
    <w:p w:rsidR="00633A87" w:rsidRDefault="00633A87" w:rsidP="00633A87">
      <w:pPr>
        <w:spacing w:line="480" w:lineRule="auto"/>
        <w:ind w:firstLine="720"/>
        <w:rPr>
          <w:rFonts w:ascii="Cambria" w:hAnsi="Cambria"/>
        </w:rPr>
      </w:pPr>
      <w:r>
        <w:rPr>
          <w:rFonts w:ascii="Cambria" w:hAnsi="Cambria"/>
        </w:rPr>
        <w:t xml:space="preserve">Primers were designed using </w:t>
      </w:r>
      <w:proofErr w:type="spellStart"/>
      <w:r>
        <w:rPr>
          <w:rFonts w:ascii="Cambria" w:hAnsi="Cambria"/>
          <w:i/>
        </w:rPr>
        <w:t>Fragaria</w:t>
      </w:r>
      <w:proofErr w:type="spellEnd"/>
      <w:r>
        <w:rPr>
          <w:rFonts w:ascii="Cambria" w:hAnsi="Cambria"/>
          <w:i/>
        </w:rPr>
        <w:t xml:space="preserve"> x </w:t>
      </w:r>
      <w:proofErr w:type="spellStart"/>
      <w:r>
        <w:rPr>
          <w:rFonts w:ascii="Cambria" w:hAnsi="Cambria"/>
          <w:i/>
        </w:rPr>
        <w:t>ananassa</w:t>
      </w:r>
      <w:proofErr w:type="spellEnd"/>
      <w:r>
        <w:rPr>
          <w:rFonts w:ascii="Cambria" w:hAnsi="Cambria"/>
          <w:i/>
        </w:rPr>
        <w:t xml:space="preserve"> </w:t>
      </w:r>
      <w:proofErr w:type="spellStart"/>
      <w:r>
        <w:rPr>
          <w:rFonts w:ascii="Cambria" w:hAnsi="Cambria"/>
        </w:rPr>
        <w:t>FaQR</w:t>
      </w:r>
      <w:proofErr w:type="spellEnd"/>
      <w:r>
        <w:rPr>
          <w:rFonts w:ascii="Cambria" w:hAnsi="Cambria"/>
        </w:rPr>
        <w:t xml:space="preserve"> DNA sequence, accession number AY158836 (</w:t>
      </w:r>
      <w:proofErr w:type="spellStart"/>
      <w:r>
        <w:rPr>
          <w:rFonts w:ascii="Cambria" w:hAnsi="Cambria"/>
        </w:rPr>
        <w:t>Genbank</w:t>
      </w:r>
      <w:proofErr w:type="spellEnd"/>
      <w:r>
        <w:rPr>
          <w:rFonts w:ascii="Cambria" w:hAnsi="Cambria"/>
        </w:rPr>
        <w:t xml:space="preserve"> 2009).  The coding region ran from the 3888 nucleotide to 5680 nucleotide and contained four </w:t>
      </w:r>
      <w:proofErr w:type="spellStart"/>
      <w:r>
        <w:rPr>
          <w:rFonts w:ascii="Cambria" w:hAnsi="Cambria"/>
        </w:rPr>
        <w:t>introns</w:t>
      </w:r>
      <w:proofErr w:type="spellEnd"/>
      <w:r>
        <w:rPr>
          <w:rFonts w:ascii="Cambria" w:hAnsi="Cambria"/>
        </w:rPr>
        <w:t xml:space="preserve">.  The forward primer, FaQR1 (5’ ATG GCT GCA GCT CCA AGC GAG TCC 3’), was designed from the first 24 nucleotides of the coding region.  Internal binding sites thought to cause </w:t>
      </w:r>
      <w:proofErr w:type="spellStart"/>
      <w:r>
        <w:rPr>
          <w:rFonts w:ascii="Cambria" w:hAnsi="Cambria"/>
        </w:rPr>
        <w:t>dimers</w:t>
      </w:r>
      <w:proofErr w:type="spellEnd"/>
      <w:r>
        <w:rPr>
          <w:rFonts w:ascii="Cambria" w:hAnsi="Cambria"/>
        </w:rPr>
        <w:t xml:space="preserve"> were found in the primer, so a modified forward primer was designed, FaQR2 (5’ ATC GCC </w:t>
      </w:r>
      <w:proofErr w:type="spellStart"/>
      <w:r>
        <w:rPr>
          <w:rFonts w:ascii="Cambria" w:hAnsi="Cambria"/>
        </w:rPr>
        <w:t>GCC</w:t>
      </w:r>
      <w:proofErr w:type="spellEnd"/>
      <w:r>
        <w:rPr>
          <w:rFonts w:ascii="Cambria" w:hAnsi="Cambria"/>
        </w:rPr>
        <w:t xml:space="preserve"> GCT CCA AGC GAC TCC 3’).  A reverse primer, FaQR3 (5’ TGG GAT GGG ATA CAC AAC CAC CTT 3’), was designed using the last 24 nucleotides of the coding region, omitting the stop </w:t>
      </w:r>
      <w:proofErr w:type="spellStart"/>
      <w:r>
        <w:rPr>
          <w:rFonts w:ascii="Cambria" w:hAnsi="Cambria"/>
        </w:rPr>
        <w:t>codon</w:t>
      </w:r>
      <w:proofErr w:type="spellEnd"/>
      <w:r>
        <w:rPr>
          <w:rFonts w:ascii="Cambria" w:hAnsi="Cambria"/>
        </w:rPr>
        <w:t>, TCA.</w:t>
      </w:r>
    </w:p>
    <w:p w:rsidR="00746F1F" w:rsidRPr="000048CE" w:rsidRDefault="00531F4E" w:rsidP="000048CE">
      <w:pPr>
        <w:spacing w:line="480" w:lineRule="auto"/>
        <w:rPr>
          <w:rFonts w:ascii="Cambria" w:hAnsi="Cambria"/>
          <w:b/>
        </w:rPr>
      </w:pPr>
      <w:r>
        <w:rPr>
          <w:rFonts w:ascii="Cambria" w:hAnsi="Cambria"/>
          <w:b/>
        </w:rPr>
        <w:t>7</w:t>
      </w:r>
      <w:r w:rsidR="000048CE">
        <w:rPr>
          <w:rFonts w:ascii="Cambria" w:hAnsi="Cambria"/>
          <w:b/>
        </w:rPr>
        <w:t>)  PCR</w:t>
      </w:r>
    </w:p>
    <w:p w:rsidR="00296267" w:rsidRPr="007631AB" w:rsidRDefault="00746F1F" w:rsidP="00951721">
      <w:pPr>
        <w:spacing w:line="480" w:lineRule="auto"/>
        <w:rPr>
          <w:rFonts w:ascii="Cambria" w:hAnsi="Cambria"/>
        </w:rPr>
      </w:pPr>
      <w:r>
        <w:rPr>
          <w:rFonts w:ascii="Cambria" w:hAnsi="Cambria"/>
        </w:rPr>
        <w:tab/>
      </w:r>
      <w:r w:rsidR="007631AB">
        <w:rPr>
          <w:rFonts w:ascii="Cambria" w:hAnsi="Cambria"/>
        </w:rPr>
        <w:t xml:space="preserve">PCR was completed with the both the </w:t>
      </w:r>
      <w:r>
        <w:rPr>
          <w:rFonts w:ascii="Cambria" w:hAnsi="Cambria"/>
        </w:rPr>
        <w:t>FaQR1/FaQR3 and FaQR2/FaQR</w:t>
      </w:r>
      <w:r w:rsidR="007631AB">
        <w:rPr>
          <w:rFonts w:ascii="Cambria" w:hAnsi="Cambria"/>
        </w:rPr>
        <w:t xml:space="preserve"> primer sets.  </w:t>
      </w:r>
      <w:proofErr w:type="gramStart"/>
      <w:r w:rsidR="007631AB">
        <w:rPr>
          <w:rFonts w:ascii="Cambria" w:hAnsi="Cambria"/>
        </w:rPr>
        <w:t>The cocktail included 5</w:t>
      </w:r>
      <w:r w:rsidR="004B63F6">
        <w:rPr>
          <w:rFonts w:ascii="Cambria" w:hAnsi="Cambria"/>
        </w:rPr>
        <w:t xml:space="preserve"> µl </w:t>
      </w:r>
      <w:r w:rsidR="007631AB">
        <w:rPr>
          <w:rFonts w:ascii="Cambria" w:hAnsi="Cambria"/>
        </w:rPr>
        <w:t>template DNA</w:t>
      </w:r>
      <w:r w:rsidR="004B63F6">
        <w:rPr>
          <w:rFonts w:ascii="Cambria" w:hAnsi="Cambria"/>
        </w:rPr>
        <w:t xml:space="preserve">, 10 µl (2x) PCR mix, 0.8 µl (10 µM) FaQR1/FaQR2, 0.8 µl (10 µM) FaQR3 and </w:t>
      </w:r>
      <w:r w:rsidR="007631AB">
        <w:rPr>
          <w:rFonts w:ascii="Cambria" w:hAnsi="Cambria"/>
        </w:rPr>
        <w:t>3.4</w:t>
      </w:r>
      <w:r w:rsidR="004B63F6">
        <w:rPr>
          <w:rFonts w:ascii="Cambria" w:hAnsi="Cambria"/>
        </w:rPr>
        <w:t xml:space="preserve"> µl</w:t>
      </w:r>
      <w:r w:rsidR="007631AB">
        <w:rPr>
          <w:rFonts w:ascii="Cambria" w:hAnsi="Cambria"/>
        </w:rPr>
        <w:t xml:space="preserve"> H</w:t>
      </w:r>
      <w:r w:rsidR="007631AB" w:rsidRPr="007631AB">
        <w:rPr>
          <w:rFonts w:ascii="Cambria" w:hAnsi="Cambria"/>
          <w:vertAlign w:val="subscript"/>
        </w:rPr>
        <w:t>2</w:t>
      </w:r>
      <w:r w:rsidR="007631AB">
        <w:rPr>
          <w:rFonts w:ascii="Cambria" w:hAnsi="Cambria"/>
        </w:rPr>
        <w:t>O</w:t>
      </w:r>
      <w:r w:rsidR="004B63F6">
        <w:rPr>
          <w:rFonts w:ascii="Cambria" w:hAnsi="Cambria"/>
        </w:rPr>
        <w:t>.</w:t>
      </w:r>
      <w:proofErr w:type="gramEnd"/>
      <w:r w:rsidR="004B63F6">
        <w:rPr>
          <w:rFonts w:ascii="Cambria" w:hAnsi="Cambria"/>
        </w:rPr>
        <w:t xml:space="preserve">  </w:t>
      </w:r>
      <w:r>
        <w:rPr>
          <w:rFonts w:ascii="Cambria" w:hAnsi="Cambria"/>
        </w:rPr>
        <w:t xml:space="preserve">A positive control was amplified using 10 µl </w:t>
      </w:r>
      <w:r w:rsidR="007631AB">
        <w:rPr>
          <w:rFonts w:ascii="Cambria" w:hAnsi="Cambria"/>
        </w:rPr>
        <w:t>(</w:t>
      </w:r>
      <w:proofErr w:type="gramStart"/>
      <w:r w:rsidR="007631AB">
        <w:rPr>
          <w:rFonts w:ascii="Cambria" w:hAnsi="Cambria"/>
        </w:rPr>
        <w:t>2x</w:t>
      </w:r>
      <w:proofErr w:type="gramEnd"/>
      <w:r w:rsidR="007631AB">
        <w:rPr>
          <w:rFonts w:ascii="Cambria" w:hAnsi="Cambria"/>
        </w:rPr>
        <w:t xml:space="preserve">) </w:t>
      </w:r>
      <w:r>
        <w:rPr>
          <w:rFonts w:ascii="Cambria" w:hAnsi="Cambria"/>
        </w:rPr>
        <w:t xml:space="preserve">PCR mix, 1 µl </w:t>
      </w:r>
      <w:r w:rsidR="00531F4E">
        <w:rPr>
          <w:rFonts w:ascii="Cambria" w:hAnsi="Cambria"/>
        </w:rPr>
        <w:t xml:space="preserve">(unknown concentration) </w:t>
      </w:r>
      <w:proofErr w:type="spellStart"/>
      <w:r>
        <w:rPr>
          <w:rFonts w:ascii="Cambria" w:hAnsi="Cambria"/>
        </w:rPr>
        <w:t>Bluescript</w:t>
      </w:r>
      <w:proofErr w:type="spellEnd"/>
      <w:r>
        <w:rPr>
          <w:rFonts w:ascii="Cambria" w:hAnsi="Cambria"/>
        </w:rPr>
        <w:t xml:space="preserve"> plasmid DNA, 2 µl</w:t>
      </w:r>
      <w:r w:rsidR="00531F4E">
        <w:rPr>
          <w:rFonts w:ascii="Cambria" w:hAnsi="Cambria"/>
        </w:rPr>
        <w:t xml:space="preserve"> (2 µM)</w:t>
      </w:r>
      <w:r w:rsidR="00A02393">
        <w:rPr>
          <w:rFonts w:ascii="Cambria" w:hAnsi="Cambria"/>
        </w:rPr>
        <w:t xml:space="preserve"> M13 forward primer, 2</w:t>
      </w:r>
      <w:r>
        <w:rPr>
          <w:rFonts w:ascii="Cambria" w:hAnsi="Cambria"/>
        </w:rPr>
        <w:t xml:space="preserve"> µl </w:t>
      </w:r>
      <w:r w:rsidR="00531F4E">
        <w:rPr>
          <w:rFonts w:ascii="Cambria" w:hAnsi="Cambria"/>
        </w:rPr>
        <w:t xml:space="preserve">(2 µM) </w:t>
      </w:r>
      <w:r>
        <w:rPr>
          <w:rFonts w:ascii="Cambria" w:hAnsi="Cambria"/>
        </w:rPr>
        <w:t xml:space="preserve">M13 reverse primer and 5 µl </w:t>
      </w:r>
      <w:r w:rsidR="007631AB">
        <w:rPr>
          <w:rFonts w:ascii="Cambria" w:hAnsi="Cambria"/>
        </w:rPr>
        <w:t>H</w:t>
      </w:r>
      <w:r w:rsidR="007631AB" w:rsidRPr="007631AB">
        <w:rPr>
          <w:rFonts w:ascii="Cambria" w:hAnsi="Cambria"/>
          <w:vertAlign w:val="subscript"/>
        </w:rPr>
        <w:t>2</w:t>
      </w:r>
      <w:r w:rsidR="007631AB">
        <w:rPr>
          <w:rFonts w:ascii="Cambria" w:hAnsi="Cambria"/>
        </w:rPr>
        <w:t xml:space="preserve">O.  </w:t>
      </w:r>
      <w:r>
        <w:rPr>
          <w:rFonts w:ascii="Cambria" w:hAnsi="Cambria"/>
        </w:rPr>
        <w:t xml:space="preserve">A negative control, the cocktail </w:t>
      </w:r>
      <w:r w:rsidR="007631AB">
        <w:rPr>
          <w:rFonts w:ascii="Cambria" w:hAnsi="Cambria"/>
        </w:rPr>
        <w:t xml:space="preserve">without template, was amplified.  </w:t>
      </w:r>
      <w:r w:rsidR="004B63F6">
        <w:rPr>
          <w:rFonts w:ascii="Cambria" w:hAnsi="Cambria"/>
        </w:rPr>
        <w:t xml:space="preserve">The PCR was completed under </w:t>
      </w:r>
      <w:r w:rsidR="00296267">
        <w:rPr>
          <w:rFonts w:ascii="Cambria" w:hAnsi="Cambria"/>
        </w:rPr>
        <w:t xml:space="preserve">PCR program </w:t>
      </w:r>
      <w:r w:rsidR="00C44B48" w:rsidRPr="0077798B">
        <w:rPr>
          <w:rFonts w:ascii="Cambria" w:hAnsi="Cambria"/>
          <w:iCs/>
        </w:rPr>
        <w:t>“</w:t>
      </w:r>
      <w:r w:rsidR="00296267" w:rsidRPr="0077798B">
        <w:rPr>
          <w:rFonts w:ascii="Cambria" w:hAnsi="Cambria"/>
          <w:iCs/>
        </w:rPr>
        <w:t>Strawberry</w:t>
      </w:r>
      <w:r w:rsidR="00C44B48" w:rsidRPr="0077798B">
        <w:rPr>
          <w:rFonts w:ascii="Cambria" w:hAnsi="Cambria"/>
          <w:iCs/>
        </w:rPr>
        <w:t>”</w:t>
      </w:r>
      <w:r w:rsidR="004B63F6">
        <w:rPr>
          <w:rFonts w:ascii="Cambria" w:hAnsi="Cambria"/>
        </w:rPr>
        <w:t xml:space="preserve"> </w:t>
      </w:r>
      <w:r w:rsidR="00296267">
        <w:rPr>
          <w:rFonts w:ascii="Cambria" w:hAnsi="Cambria"/>
        </w:rPr>
        <w:t xml:space="preserve">with the </w:t>
      </w:r>
      <w:r w:rsidR="004B63F6">
        <w:rPr>
          <w:rFonts w:ascii="Cambria" w:hAnsi="Cambria"/>
        </w:rPr>
        <w:t>following constrai</w:t>
      </w:r>
      <w:r w:rsidR="0077798B">
        <w:rPr>
          <w:rFonts w:ascii="Cambria" w:hAnsi="Cambria"/>
        </w:rPr>
        <w:t>n</w:t>
      </w:r>
      <w:r w:rsidR="004B63F6">
        <w:rPr>
          <w:rFonts w:ascii="Cambria" w:hAnsi="Cambria"/>
        </w:rPr>
        <w:t xml:space="preserve">ts: initial </w:t>
      </w:r>
      <w:proofErr w:type="spellStart"/>
      <w:r w:rsidR="004B63F6">
        <w:rPr>
          <w:rFonts w:ascii="Cambria" w:hAnsi="Cambria"/>
        </w:rPr>
        <w:t>denaturation</w:t>
      </w:r>
      <w:proofErr w:type="spellEnd"/>
      <w:r w:rsidR="004B63F6">
        <w:rPr>
          <w:rFonts w:ascii="Cambria" w:hAnsi="Cambria"/>
        </w:rPr>
        <w:t xml:space="preserve"> at 95° for 4 minutes, 30 cycles</w:t>
      </w:r>
      <w:r w:rsidR="0064333A">
        <w:rPr>
          <w:rFonts w:ascii="Cambria" w:hAnsi="Cambria"/>
        </w:rPr>
        <w:t xml:space="preserve"> of 94° for 1 minute, 50°C </w:t>
      </w:r>
      <w:r w:rsidR="004B63F6">
        <w:rPr>
          <w:rFonts w:ascii="Cambria" w:hAnsi="Cambria"/>
        </w:rPr>
        <w:t>for 30 second</w:t>
      </w:r>
      <w:r w:rsidR="00296267">
        <w:rPr>
          <w:rFonts w:ascii="Cambria" w:hAnsi="Cambria"/>
        </w:rPr>
        <w:t>s, and 72° for 3 minutes with a</w:t>
      </w:r>
      <w:r w:rsidR="004B63F6">
        <w:rPr>
          <w:rFonts w:ascii="Cambria" w:hAnsi="Cambria"/>
        </w:rPr>
        <w:t xml:space="preserve"> final extension at 72° for 10 minutes.</w:t>
      </w:r>
    </w:p>
    <w:p w:rsidR="003800A9" w:rsidRDefault="00531F4E" w:rsidP="007631AB">
      <w:pPr>
        <w:spacing w:line="480" w:lineRule="auto"/>
        <w:rPr>
          <w:b/>
        </w:rPr>
      </w:pPr>
      <w:r>
        <w:rPr>
          <w:b/>
        </w:rPr>
        <w:t>8</w:t>
      </w:r>
      <w:r w:rsidR="003800A9">
        <w:rPr>
          <w:b/>
        </w:rPr>
        <w:t>)  Gel Extraction</w:t>
      </w:r>
    </w:p>
    <w:p w:rsidR="00F4234B" w:rsidRDefault="003800A9" w:rsidP="007631AB">
      <w:pPr>
        <w:spacing w:line="480" w:lineRule="auto"/>
        <w:rPr>
          <w:rFonts w:ascii="Cambria" w:hAnsi="Cambria"/>
        </w:rPr>
      </w:pPr>
      <w:r>
        <w:rPr>
          <w:b/>
        </w:rPr>
        <w:tab/>
      </w:r>
      <w:r>
        <w:t xml:space="preserve">DNA was extracted from gels </w:t>
      </w:r>
      <w:r>
        <w:rPr>
          <w:rFonts w:ascii="Cambria" w:hAnsi="Cambria"/>
        </w:rPr>
        <w:t xml:space="preserve">QIAGEN </w:t>
      </w:r>
      <w:proofErr w:type="spellStart"/>
      <w:r>
        <w:rPr>
          <w:rFonts w:ascii="Cambria" w:hAnsi="Cambria"/>
        </w:rPr>
        <w:t>QIAQuick</w:t>
      </w:r>
      <w:proofErr w:type="spellEnd"/>
      <w:r>
        <w:rPr>
          <w:rFonts w:ascii="Cambria" w:hAnsi="Cambria"/>
        </w:rPr>
        <w:t xml:space="preserve"> Gel Extraction Kit.  It was assumed the </w:t>
      </w:r>
      <w:proofErr w:type="spellStart"/>
      <w:r>
        <w:rPr>
          <w:rFonts w:ascii="Cambria" w:hAnsi="Cambria"/>
        </w:rPr>
        <w:t>agarose</w:t>
      </w:r>
      <w:proofErr w:type="spellEnd"/>
      <w:r>
        <w:rPr>
          <w:rFonts w:ascii="Cambria" w:hAnsi="Cambria"/>
        </w:rPr>
        <w:t xml:space="preserve"> excisions weighted 100 mg and 100 µl as the volume.</w:t>
      </w:r>
    </w:p>
    <w:p w:rsidR="00F4234B" w:rsidRDefault="00531F4E" w:rsidP="00F4234B">
      <w:pPr>
        <w:spacing w:line="480" w:lineRule="auto"/>
        <w:rPr>
          <w:rFonts w:ascii="Cambria" w:hAnsi="Cambria"/>
          <w:b/>
        </w:rPr>
      </w:pPr>
      <w:r>
        <w:rPr>
          <w:rFonts w:ascii="Cambria" w:hAnsi="Cambria"/>
          <w:b/>
        </w:rPr>
        <w:t>9</w:t>
      </w:r>
      <w:r w:rsidR="00F4234B">
        <w:rPr>
          <w:rFonts w:ascii="Cambria" w:hAnsi="Cambria"/>
          <w:b/>
        </w:rPr>
        <w:t>)  Agar Plate Preparation</w:t>
      </w:r>
    </w:p>
    <w:p w:rsidR="008E4744" w:rsidRPr="00F4234B" w:rsidRDefault="00F4234B" w:rsidP="00F4234B">
      <w:pPr>
        <w:spacing w:line="480" w:lineRule="auto"/>
        <w:ind w:firstLine="720"/>
        <w:rPr>
          <w:rFonts w:ascii="Cambria" w:hAnsi="Cambria"/>
        </w:rPr>
      </w:pPr>
      <w:r>
        <w:rPr>
          <w:rFonts w:ascii="Cambria" w:hAnsi="Cambria"/>
        </w:rPr>
        <w:t xml:space="preserve">Agar plates were made for transformations.  800 ml </w:t>
      </w:r>
      <w:proofErr w:type="gramStart"/>
      <w:r>
        <w:rPr>
          <w:rFonts w:ascii="Cambria" w:hAnsi="Cambria"/>
        </w:rPr>
        <w:t>LB  was</w:t>
      </w:r>
      <w:proofErr w:type="gramEnd"/>
      <w:r>
        <w:rPr>
          <w:rFonts w:ascii="Cambria" w:hAnsi="Cambria"/>
        </w:rPr>
        <w:t xml:space="preserve"> made using 20 g LB/l, 12 g agar/l and 12 ml </w:t>
      </w:r>
      <w:r w:rsidR="00531F4E">
        <w:rPr>
          <w:rFonts w:ascii="Cambria" w:hAnsi="Cambria"/>
        </w:rPr>
        <w:t xml:space="preserve">(60 mg/ml) </w:t>
      </w:r>
      <w:proofErr w:type="spellStart"/>
      <w:r w:rsidR="00F75B83">
        <w:rPr>
          <w:rFonts w:ascii="Cambria" w:hAnsi="Cambria"/>
        </w:rPr>
        <w:t>Ampicillin</w:t>
      </w:r>
      <w:proofErr w:type="spellEnd"/>
      <w:r>
        <w:rPr>
          <w:rFonts w:ascii="Cambria" w:hAnsi="Cambria"/>
        </w:rPr>
        <w:t xml:space="preserve"> and poured into plates.  Work was done near a flame to decrease contamination and to remove bubbles from medium.</w:t>
      </w:r>
    </w:p>
    <w:p w:rsidR="003800A9" w:rsidRPr="003800A9" w:rsidRDefault="00531F4E" w:rsidP="003800A9">
      <w:pPr>
        <w:spacing w:line="480" w:lineRule="auto"/>
        <w:rPr>
          <w:rFonts w:ascii="Cambria" w:hAnsi="Cambria"/>
          <w:b/>
        </w:rPr>
      </w:pPr>
      <w:r>
        <w:rPr>
          <w:rFonts w:ascii="Cambria" w:hAnsi="Cambria"/>
          <w:b/>
        </w:rPr>
        <w:t>10</w:t>
      </w:r>
      <w:r w:rsidR="00F4234B">
        <w:rPr>
          <w:rFonts w:ascii="Cambria" w:hAnsi="Cambria"/>
          <w:b/>
        </w:rPr>
        <w:t xml:space="preserve">)  Ligation, </w:t>
      </w:r>
      <w:r w:rsidR="003800A9">
        <w:rPr>
          <w:rFonts w:ascii="Cambria" w:hAnsi="Cambria"/>
          <w:b/>
        </w:rPr>
        <w:t>Transformation</w:t>
      </w:r>
      <w:r w:rsidR="00F4234B">
        <w:rPr>
          <w:rFonts w:ascii="Cambria" w:hAnsi="Cambria"/>
          <w:b/>
        </w:rPr>
        <w:t>, Overnight Cultures and Glycerol Stocks</w:t>
      </w:r>
    </w:p>
    <w:p w:rsidR="00F4234B" w:rsidRDefault="0077798B" w:rsidP="00F4234B">
      <w:pPr>
        <w:spacing w:line="480" w:lineRule="auto"/>
        <w:ind w:firstLine="720"/>
        <w:rPr>
          <w:rFonts w:ascii="Cambria" w:hAnsi="Cambria"/>
        </w:rPr>
      </w:pPr>
      <w:r>
        <w:rPr>
          <w:rFonts w:ascii="Cambria" w:hAnsi="Cambria"/>
        </w:rPr>
        <w:t xml:space="preserve">PCR products </w:t>
      </w:r>
      <w:r w:rsidR="008B3FB1">
        <w:rPr>
          <w:rFonts w:ascii="Cambria" w:hAnsi="Cambria"/>
        </w:rPr>
        <w:t xml:space="preserve">A and B were </w:t>
      </w:r>
      <w:proofErr w:type="spellStart"/>
      <w:r w:rsidR="008B3FB1">
        <w:rPr>
          <w:rFonts w:ascii="Cambria" w:hAnsi="Cambria"/>
        </w:rPr>
        <w:t>ligated</w:t>
      </w:r>
      <w:proofErr w:type="spellEnd"/>
      <w:r w:rsidR="008B3FB1">
        <w:rPr>
          <w:rFonts w:ascii="Cambria" w:hAnsi="Cambria"/>
        </w:rPr>
        <w:t xml:space="preserve"> using the </w:t>
      </w:r>
      <w:proofErr w:type="spellStart"/>
      <w:r w:rsidR="008B3FB1">
        <w:rPr>
          <w:rFonts w:ascii="Cambria" w:hAnsi="Cambria"/>
        </w:rPr>
        <w:t>pGEM</w:t>
      </w:r>
      <w:proofErr w:type="spellEnd"/>
      <w:r w:rsidR="008B3FB1">
        <w:rPr>
          <w:rFonts w:ascii="Cambria" w:hAnsi="Cambria"/>
        </w:rPr>
        <w:t xml:space="preserve">-T and </w:t>
      </w:r>
      <w:proofErr w:type="spellStart"/>
      <w:r w:rsidR="008B3FB1">
        <w:rPr>
          <w:rFonts w:ascii="Cambria" w:hAnsi="Cambria"/>
        </w:rPr>
        <w:t>pGEM</w:t>
      </w:r>
      <w:proofErr w:type="spellEnd"/>
      <w:r w:rsidR="008B3FB1">
        <w:rPr>
          <w:rFonts w:ascii="Cambria" w:hAnsi="Cambria"/>
        </w:rPr>
        <w:t xml:space="preserve">-T Easy Vector Systems by </w:t>
      </w:r>
      <w:proofErr w:type="spellStart"/>
      <w:r w:rsidR="008B3FB1">
        <w:rPr>
          <w:rFonts w:ascii="Cambria" w:hAnsi="Cambria"/>
        </w:rPr>
        <w:t>Promega</w:t>
      </w:r>
      <w:proofErr w:type="spellEnd"/>
      <w:r w:rsidR="008B3FB1">
        <w:rPr>
          <w:rFonts w:ascii="Cambria" w:hAnsi="Cambria"/>
        </w:rPr>
        <w:t xml:space="preserve">. </w:t>
      </w:r>
      <w:r w:rsidR="00AC66F8">
        <w:rPr>
          <w:rFonts w:ascii="Cambria" w:hAnsi="Cambria"/>
        </w:rPr>
        <w:t>A background control</w:t>
      </w:r>
      <w:r w:rsidR="00036F1B">
        <w:rPr>
          <w:rFonts w:ascii="Cambria" w:hAnsi="Cambria"/>
        </w:rPr>
        <w:t>, X,</w:t>
      </w:r>
      <w:r w:rsidR="00AC66F8">
        <w:rPr>
          <w:rFonts w:ascii="Cambria" w:hAnsi="Cambria"/>
        </w:rPr>
        <w:t xml:space="preserve"> was complet</w:t>
      </w:r>
      <w:r w:rsidR="00F4234B">
        <w:rPr>
          <w:rFonts w:ascii="Cambria" w:hAnsi="Cambria"/>
        </w:rPr>
        <w:t xml:space="preserve">ed to calculate self ligation. The transformation mixtures were placed in the 37°C shaker for 1 hour prior to plating.  100 µl of the transformations were plated using a glass rod dipped in </w:t>
      </w:r>
      <w:proofErr w:type="spellStart"/>
      <w:r w:rsidR="00F4234B">
        <w:rPr>
          <w:rFonts w:ascii="Cambria" w:hAnsi="Cambria"/>
        </w:rPr>
        <w:t>EtOH</w:t>
      </w:r>
      <w:proofErr w:type="spellEnd"/>
      <w:r w:rsidR="00F4234B">
        <w:rPr>
          <w:rFonts w:ascii="Cambria" w:hAnsi="Cambria"/>
        </w:rPr>
        <w:t xml:space="preserve"> and flamed using a Bunsen burner.  The viability control was plated from the same mixture as the negative control.  The transformations were incubated for 37°C for 24 hours.  </w:t>
      </w:r>
      <w:r w:rsidR="00F4234B">
        <w:t xml:space="preserve">Overnight cultures were done in 15 ml tubes to allow bacteria access to oxygen and contained 5 ml LB medium and 8 </w:t>
      </w:r>
      <w:r w:rsidR="00F4234B">
        <w:rPr>
          <w:rFonts w:ascii="Cambria" w:hAnsi="Cambria"/>
        </w:rPr>
        <w:t xml:space="preserve">µl </w:t>
      </w:r>
      <w:proofErr w:type="spellStart"/>
      <w:r w:rsidR="00F75B83">
        <w:rPr>
          <w:rFonts w:ascii="Cambria" w:hAnsi="Cambria"/>
        </w:rPr>
        <w:t>Ampicillin</w:t>
      </w:r>
      <w:proofErr w:type="spellEnd"/>
      <w:r w:rsidR="00F4234B">
        <w:rPr>
          <w:rFonts w:ascii="Cambria" w:hAnsi="Cambria"/>
        </w:rPr>
        <w:t xml:space="preserve"> (60 µg/µl </w:t>
      </w:r>
      <w:r w:rsidR="00F4234B" w:rsidRPr="007D0F98">
        <w:rPr>
          <w:rFonts w:ascii="Cambria" w:hAnsi="Cambria"/>
        </w:rPr>
        <w:sym w:font="Wingdings" w:char="F0E0"/>
      </w:r>
      <w:r w:rsidR="00F4234B">
        <w:rPr>
          <w:rFonts w:ascii="Cambria" w:hAnsi="Cambria"/>
        </w:rPr>
        <w:t xml:space="preserve"> 100 µg/l final concentration).</w:t>
      </w:r>
      <w:r w:rsidR="00C71E65">
        <w:rPr>
          <w:rFonts w:ascii="Cambria" w:hAnsi="Cambria"/>
        </w:rPr>
        <w:t xml:space="preserve">  </w:t>
      </w:r>
      <w:r w:rsidR="00C71E65">
        <w:t xml:space="preserve">The bottom of the plate was marked where a colony was removed.  Each separate colony was removed using a 20-200 </w:t>
      </w:r>
      <w:r w:rsidR="00C71E65">
        <w:rPr>
          <w:rFonts w:ascii="Cambria" w:hAnsi="Cambria"/>
        </w:rPr>
        <w:t xml:space="preserve">µl pipette tip, put in medium and placed in the 37°C shaker for 6-8 </w:t>
      </w:r>
      <w:proofErr w:type="spellStart"/>
      <w:r w:rsidR="00C71E65">
        <w:rPr>
          <w:rFonts w:ascii="Cambria" w:hAnsi="Cambria"/>
        </w:rPr>
        <w:t>hours.</w:t>
      </w:r>
      <w:r w:rsidR="00F4234B">
        <w:rPr>
          <w:rFonts w:ascii="Cambria" w:hAnsi="Cambria"/>
        </w:rPr>
        <w:t>G</w:t>
      </w:r>
      <w:proofErr w:type="spellEnd"/>
      <w:r w:rsidR="00C71E65">
        <w:rPr>
          <w:rFonts w:ascii="Cambria" w:hAnsi="Cambria"/>
        </w:rPr>
        <w:t xml:space="preserve">  </w:t>
      </w:r>
      <w:proofErr w:type="spellStart"/>
      <w:r w:rsidR="00F4234B">
        <w:rPr>
          <w:rFonts w:ascii="Cambria" w:hAnsi="Cambria"/>
        </w:rPr>
        <w:t>lycerol</w:t>
      </w:r>
      <w:proofErr w:type="spellEnd"/>
      <w:r w:rsidR="00F4234B">
        <w:rPr>
          <w:rFonts w:ascii="Cambria" w:hAnsi="Cambria"/>
        </w:rPr>
        <w:t xml:space="preserve"> stocks were made with 320 µl 50% glycerol and 680 µl of corresponding overnight culture and put in the -80°C freezer for long-term storage.</w:t>
      </w:r>
    </w:p>
    <w:p w:rsidR="00F4234B" w:rsidRDefault="00531F4E" w:rsidP="00F4234B">
      <w:pPr>
        <w:spacing w:line="480" w:lineRule="auto"/>
        <w:rPr>
          <w:rFonts w:ascii="Cambria" w:hAnsi="Cambria"/>
          <w:b/>
        </w:rPr>
      </w:pPr>
      <w:r>
        <w:rPr>
          <w:rFonts w:ascii="Cambria" w:hAnsi="Cambria"/>
          <w:b/>
        </w:rPr>
        <w:t>11</w:t>
      </w:r>
      <w:r w:rsidR="00F4234B">
        <w:rPr>
          <w:rFonts w:ascii="Cambria" w:hAnsi="Cambria"/>
          <w:b/>
        </w:rPr>
        <w:t>)  Plasmid Isolation</w:t>
      </w:r>
    </w:p>
    <w:p w:rsidR="00C57DE4" w:rsidRDefault="00F4234B" w:rsidP="00F4234B">
      <w:pPr>
        <w:spacing w:line="480" w:lineRule="auto"/>
        <w:ind w:firstLine="720"/>
        <w:rPr>
          <w:rFonts w:ascii="Cambria" w:hAnsi="Cambria"/>
        </w:rPr>
      </w:pPr>
      <w:r>
        <w:rPr>
          <w:rFonts w:ascii="Cambria" w:hAnsi="Cambria"/>
        </w:rPr>
        <w:t xml:space="preserve">Plasmids were isolated from the overnight cultures to be run on an </w:t>
      </w:r>
      <w:proofErr w:type="spellStart"/>
      <w:r>
        <w:rPr>
          <w:rFonts w:ascii="Cambria" w:hAnsi="Cambria"/>
        </w:rPr>
        <w:t>agarose</w:t>
      </w:r>
      <w:proofErr w:type="spellEnd"/>
      <w:r>
        <w:rPr>
          <w:rFonts w:ascii="Cambria" w:hAnsi="Cambria"/>
        </w:rPr>
        <w:t xml:space="preserve"> gel to see which contain DNA.  Before a plasmid isolation kit was used, 1.9 ml of overnight culture was put in corresponding 2 ml tubes, spun at 12000 x g for minutes and the supernatant removed.  A </w:t>
      </w:r>
      <w:proofErr w:type="spellStart"/>
      <w:r>
        <w:rPr>
          <w:rFonts w:ascii="Cambria" w:hAnsi="Cambria"/>
        </w:rPr>
        <w:t>Fermentas</w:t>
      </w:r>
      <w:proofErr w:type="spellEnd"/>
      <w:r>
        <w:rPr>
          <w:rFonts w:ascii="Cambria" w:hAnsi="Cambria"/>
        </w:rPr>
        <w:t xml:space="preserve"> </w:t>
      </w:r>
      <w:proofErr w:type="spellStart"/>
      <w:r>
        <w:rPr>
          <w:rFonts w:ascii="Cambria" w:hAnsi="Cambria"/>
        </w:rPr>
        <w:t>GeneJET</w:t>
      </w:r>
      <w:proofErr w:type="spellEnd"/>
      <w:r>
        <w:rPr>
          <w:rFonts w:ascii="Cambria" w:hAnsi="Cambria"/>
        </w:rPr>
        <w:t xml:space="preserve"> plasmid isolation kit was used.</w:t>
      </w:r>
    </w:p>
    <w:p w:rsidR="004C4FA7" w:rsidRDefault="00531F4E" w:rsidP="004C4FA7">
      <w:pPr>
        <w:spacing w:line="480" w:lineRule="auto"/>
        <w:rPr>
          <w:rFonts w:ascii="Cambria" w:hAnsi="Cambria"/>
          <w:b/>
        </w:rPr>
      </w:pPr>
      <w:r>
        <w:rPr>
          <w:rFonts w:ascii="Cambria" w:hAnsi="Cambria"/>
          <w:b/>
        </w:rPr>
        <w:t>12</w:t>
      </w:r>
      <w:r w:rsidR="004C4FA7">
        <w:rPr>
          <w:rFonts w:ascii="Cambria" w:hAnsi="Cambria"/>
          <w:b/>
        </w:rPr>
        <w:t>)  RNA Extraction</w:t>
      </w:r>
    </w:p>
    <w:p w:rsidR="00531F4E" w:rsidRDefault="004C4FA7" w:rsidP="004C4FA7">
      <w:pPr>
        <w:spacing w:line="480" w:lineRule="auto"/>
        <w:rPr>
          <w:rFonts w:ascii="Cambria" w:hAnsi="Cambria"/>
        </w:rPr>
      </w:pPr>
      <w:r>
        <w:rPr>
          <w:rFonts w:ascii="Cambria" w:hAnsi="Cambria"/>
        </w:rPr>
        <w:tab/>
        <w:t xml:space="preserve">RNA was extracted using the QIAGEN </w:t>
      </w:r>
      <w:proofErr w:type="spellStart"/>
      <w:r>
        <w:rPr>
          <w:rFonts w:ascii="Cambria" w:hAnsi="Cambria"/>
        </w:rPr>
        <w:t>RNeasy</w:t>
      </w:r>
      <w:proofErr w:type="spellEnd"/>
      <w:r>
        <w:rPr>
          <w:rFonts w:ascii="Cambria" w:hAnsi="Cambria"/>
        </w:rPr>
        <w:t xml:space="preserve"> Plant </w:t>
      </w:r>
      <w:proofErr w:type="spellStart"/>
      <w:r>
        <w:rPr>
          <w:rFonts w:ascii="Cambria" w:hAnsi="Cambria"/>
        </w:rPr>
        <w:t>Minikit</w:t>
      </w:r>
      <w:proofErr w:type="spellEnd"/>
      <w:r>
        <w:rPr>
          <w:rFonts w:ascii="Cambria" w:hAnsi="Cambria"/>
        </w:rPr>
        <w:t>.  Tiss</w:t>
      </w:r>
      <w:r w:rsidR="00C200CD">
        <w:rPr>
          <w:rFonts w:ascii="Cambria" w:hAnsi="Cambria"/>
        </w:rPr>
        <w:t>u</w:t>
      </w:r>
      <w:r>
        <w:rPr>
          <w:rFonts w:ascii="Cambria" w:hAnsi="Cambria"/>
        </w:rPr>
        <w:t>e was a</w:t>
      </w:r>
      <w:r w:rsidR="00C200CD">
        <w:rPr>
          <w:rFonts w:ascii="Cambria" w:hAnsi="Cambria"/>
        </w:rPr>
        <w:t>c</w:t>
      </w:r>
      <w:r>
        <w:rPr>
          <w:rFonts w:ascii="Cambria" w:hAnsi="Cambria"/>
        </w:rPr>
        <w:t xml:space="preserve">quired from fresh strawberries </w:t>
      </w:r>
      <w:r w:rsidR="00C200CD">
        <w:rPr>
          <w:rFonts w:ascii="Cambria" w:hAnsi="Cambria"/>
        </w:rPr>
        <w:t>from Sunrise Growers via grocery store</w:t>
      </w:r>
      <w:r>
        <w:rPr>
          <w:rFonts w:ascii="Cambria" w:hAnsi="Cambria"/>
        </w:rPr>
        <w:t xml:space="preserve">.  Approximately 100 mg of tissue were used.  </w:t>
      </w:r>
    </w:p>
    <w:p w:rsidR="00531F4E" w:rsidRPr="00531F4E" w:rsidRDefault="00531F4E" w:rsidP="004C4FA7">
      <w:pPr>
        <w:spacing w:line="480" w:lineRule="auto"/>
        <w:rPr>
          <w:rFonts w:ascii="Cambria" w:hAnsi="Cambria"/>
          <w:b/>
        </w:rPr>
      </w:pPr>
      <w:r>
        <w:rPr>
          <w:rFonts w:ascii="Cambria" w:hAnsi="Cambria"/>
          <w:b/>
        </w:rPr>
        <w:t xml:space="preserve">13)  RNA Extraction Formaldehyde </w:t>
      </w:r>
      <w:proofErr w:type="spellStart"/>
      <w:r>
        <w:rPr>
          <w:rFonts w:ascii="Cambria" w:hAnsi="Cambria"/>
          <w:b/>
        </w:rPr>
        <w:t>Agarose</w:t>
      </w:r>
      <w:proofErr w:type="spellEnd"/>
      <w:r>
        <w:rPr>
          <w:rFonts w:ascii="Cambria" w:hAnsi="Cambria"/>
          <w:b/>
        </w:rPr>
        <w:t xml:space="preserve"> Gel</w:t>
      </w:r>
    </w:p>
    <w:p w:rsidR="0064333A" w:rsidRDefault="004C4FA7" w:rsidP="00531F4E">
      <w:pPr>
        <w:spacing w:line="480" w:lineRule="auto"/>
        <w:ind w:firstLine="720"/>
        <w:rPr>
          <w:rFonts w:ascii="Cambria" w:hAnsi="Cambria"/>
        </w:rPr>
      </w:pPr>
      <w:r>
        <w:rPr>
          <w:rFonts w:ascii="Cambria" w:hAnsi="Cambria"/>
        </w:rPr>
        <w:t xml:space="preserve">Extraction products were run on a formaldehyde </w:t>
      </w:r>
      <w:proofErr w:type="spellStart"/>
      <w:r>
        <w:rPr>
          <w:rFonts w:ascii="Cambria" w:hAnsi="Cambria"/>
        </w:rPr>
        <w:t>agarose</w:t>
      </w:r>
      <w:proofErr w:type="spellEnd"/>
      <w:r>
        <w:rPr>
          <w:rFonts w:ascii="Cambria" w:hAnsi="Cambria"/>
        </w:rPr>
        <w:t xml:space="preserve"> gel following the protocol of </w:t>
      </w:r>
      <w:proofErr w:type="spellStart"/>
      <w:r>
        <w:rPr>
          <w:rFonts w:ascii="Cambria" w:hAnsi="Cambria"/>
          <w:i/>
        </w:rPr>
        <w:t>Pitra</w:t>
      </w:r>
      <w:proofErr w:type="spellEnd"/>
      <w:r>
        <w:rPr>
          <w:rFonts w:ascii="Cambria" w:hAnsi="Cambria"/>
          <w:i/>
        </w:rPr>
        <w:t xml:space="preserve"> </w:t>
      </w:r>
      <w:r>
        <w:rPr>
          <w:rFonts w:ascii="Cambria" w:hAnsi="Cambria"/>
        </w:rPr>
        <w:t>(2008).</w:t>
      </w:r>
    </w:p>
    <w:p w:rsidR="0064333A" w:rsidRDefault="00531F4E" w:rsidP="004C4FA7">
      <w:pPr>
        <w:spacing w:line="480" w:lineRule="auto"/>
        <w:rPr>
          <w:rFonts w:ascii="Cambria" w:hAnsi="Cambria"/>
          <w:b/>
        </w:rPr>
      </w:pPr>
      <w:r>
        <w:rPr>
          <w:rFonts w:ascii="Cambria" w:hAnsi="Cambria"/>
          <w:b/>
        </w:rPr>
        <w:t>14</w:t>
      </w:r>
      <w:r w:rsidR="0064333A">
        <w:rPr>
          <w:rFonts w:ascii="Cambria" w:hAnsi="Cambria"/>
          <w:b/>
        </w:rPr>
        <w:t>)  RT-PCR</w:t>
      </w:r>
    </w:p>
    <w:p w:rsidR="0064333A" w:rsidRDefault="0064333A" w:rsidP="004C4FA7">
      <w:pPr>
        <w:spacing w:line="480" w:lineRule="auto"/>
        <w:rPr>
          <w:rFonts w:ascii="Cambria" w:hAnsi="Cambria"/>
        </w:rPr>
      </w:pPr>
      <w:r>
        <w:rPr>
          <w:rFonts w:ascii="Cambria" w:hAnsi="Cambria"/>
          <w:b/>
        </w:rPr>
        <w:tab/>
      </w:r>
      <w:r>
        <w:rPr>
          <w:rFonts w:ascii="Cambria" w:hAnsi="Cambria"/>
        </w:rPr>
        <w:t xml:space="preserve">RT-PCR was completed </w:t>
      </w:r>
      <w:r w:rsidR="00531F4E">
        <w:rPr>
          <w:rFonts w:ascii="Cambria" w:hAnsi="Cambria"/>
        </w:rPr>
        <w:t>the QIAGEN 1-step RT-PCR kit and</w:t>
      </w:r>
      <w:r>
        <w:rPr>
          <w:rFonts w:ascii="Cambria" w:hAnsi="Cambria"/>
        </w:rPr>
        <w:t xml:space="preserve"> the FaQR1/FaQR3 primer pair.  The cocktail included 5 µl template RNA, 5 µl RT-PCR buffer, 1 µl </w:t>
      </w:r>
      <w:proofErr w:type="spellStart"/>
      <w:r>
        <w:rPr>
          <w:rFonts w:ascii="Cambria" w:hAnsi="Cambria"/>
        </w:rPr>
        <w:t>dNT</w:t>
      </w:r>
      <w:r w:rsidR="00255B6A">
        <w:rPr>
          <w:rFonts w:ascii="Cambria" w:hAnsi="Cambria"/>
        </w:rPr>
        <w:t>P</w:t>
      </w:r>
      <w:proofErr w:type="spellEnd"/>
      <w:r w:rsidR="00255B6A">
        <w:rPr>
          <w:rFonts w:ascii="Cambria" w:hAnsi="Cambria"/>
        </w:rPr>
        <w:t xml:space="preserve"> mix, 1.5 µl (10 µM) FaQR1, 1.5</w:t>
      </w:r>
      <w:r>
        <w:rPr>
          <w:rFonts w:ascii="Cambria" w:hAnsi="Cambria"/>
        </w:rPr>
        <w:t xml:space="preserve"> (10 µM) µl FaQR3, 1 µl RT-PCR enzyme mix and 10 µl H</w:t>
      </w:r>
      <w:r w:rsidRPr="0064333A">
        <w:rPr>
          <w:rFonts w:ascii="Cambria" w:hAnsi="Cambria"/>
          <w:vertAlign w:val="subscript"/>
        </w:rPr>
        <w:t>2</w:t>
      </w:r>
      <w:r>
        <w:rPr>
          <w:rFonts w:ascii="Cambria" w:hAnsi="Cambria"/>
        </w:rPr>
        <w:t>O.</w:t>
      </w:r>
    </w:p>
    <w:p w:rsidR="00C57DE4" w:rsidRPr="0064333A" w:rsidRDefault="0064333A" w:rsidP="004C4FA7">
      <w:pPr>
        <w:spacing w:line="480" w:lineRule="auto"/>
        <w:rPr>
          <w:rFonts w:ascii="Cambria" w:hAnsi="Cambria"/>
          <w:b/>
        </w:rPr>
      </w:pPr>
      <w:r>
        <w:rPr>
          <w:rFonts w:ascii="Cambria" w:hAnsi="Cambria"/>
        </w:rPr>
        <w:tab/>
        <w:t>RT-PCR was completed under the paramete</w:t>
      </w:r>
      <w:r w:rsidR="00531F4E">
        <w:rPr>
          <w:rFonts w:ascii="Cambria" w:hAnsi="Cambria"/>
        </w:rPr>
        <w:t>rs of program “</w:t>
      </w:r>
      <w:proofErr w:type="spellStart"/>
      <w:r w:rsidR="00531F4E">
        <w:rPr>
          <w:rFonts w:ascii="Cambria" w:hAnsi="Cambria"/>
        </w:rPr>
        <w:t>StrawberryRTPCR</w:t>
      </w:r>
      <w:proofErr w:type="spellEnd"/>
      <w:r w:rsidR="00531F4E">
        <w:rPr>
          <w:rFonts w:ascii="Cambria" w:hAnsi="Cambria"/>
        </w:rPr>
        <w:t>”:</w:t>
      </w:r>
      <w:r>
        <w:rPr>
          <w:rFonts w:ascii="Cambria" w:hAnsi="Cambria"/>
        </w:rPr>
        <w:t xml:space="preserve"> 50°C for 30 minutes for reverse transcription, 95°C for 15 minutes for initial </w:t>
      </w:r>
      <w:proofErr w:type="spellStart"/>
      <w:r>
        <w:rPr>
          <w:rFonts w:ascii="Cambria" w:hAnsi="Cambria"/>
        </w:rPr>
        <w:t>denaturation</w:t>
      </w:r>
      <w:proofErr w:type="spellEnd"/>
      <w:r>
        <w:rPr>
          <w:rFonts w:ascii="Cambria" w:hAnsi="Cambria"/>
        </w:rPr>
        <w:t>; 40 cycles of 94°C for 1 minute, 50°C for 30 seconds and 72°C for 1 minute, and 10 minutes at 72°C for final extension.</w:t>
      </w:r>
    </w:p>
    <w:p w:rsidR="00EB1756" w:rsidRDefault="00EB1756" w:rsidP="00DE033B">
      <w:pPr>
        <w:spacing w:line="480" w:lineRule="auto"/>
        <w:rPr>
          <w:b/>
        </w:rPr>
      </w:pPr>
    </w:p>
    <w:p w:rsidR="00DE1974" w:rsidRDefault="00DE1974" w:rsidP="00DE033B">
      <w:pPr>
        <w:spacing w:line="480" w:lineRule="auto"/>
        <w:rPr>
          <w:b/>
        </w:rPr>
      </w:pPr>
      <w:r>
        <w:rPr>
          <w:b/>
        </w:rPr>
        <w:t>Results</w:t>
      </w:r>
    </w:p>
    <w:p w:rsidR="00DE1974" w:rsidRDefault="00DE1974" w:rsidP="00DE1974">
      <w:pPr>
        <w:spacing w:line="480" w:lineRule="auto"/>
        <w:ind w:firstLine="720"/>
      </w:pPr>
      <w:r>
        <w:t xml:space="preserve">DNA </w:t>
      </w:r>
      <w:r w:rsidR="00531F4E">
        <w:t xml:space="preserve">was extracted using the </w:t>
      </w:r>
      <w:r w:rsidR="00531F4E">
        <w:rPr>
          <w:i/>
        </w:rPr>
        <w:t xml:space="preserve">Mercado et al. </w:t>
      </w:r>
      <w:r w:rsidR="00531F4E">
        <w:t>(1999) protocol.  P</w:t>
      </w:r>
      <w:r>
        <w:t xml:space="preserve">recipitate was seen in all tubes when </w:t>
      </w:r>
      <w:proofErr w:type="spellStart"/>
      <w:r>
        <w:t>EtOH</w:t>
      </w:r>
      <w:proofErr w:type="spellEnd"/>
      <w:r>
        <w:t xml:space="preserve"> was added after chloroform extractions.  </w:t>
      </w:r>
      <w:r>
        <w:rPr>
          <w:rFonts w:ascii="Cambria" w:hAnsi="Cambria"/>
        </w:rPr>
        <w:t xml:space="preserve">Tissue 1 </w:t>
      </w:r>
      <w:r w:rsidR="00531F4E">
        <w:rPr>
          <w:rFonts w:ascii="Cambria" w:hAnsi="Cambria"/>
        </w:rPr>
        <w:t xml:space="preserve">(see methods) </w:t>
      </w:r>
      <w:r>
        <w:rPr>
          <w:rFonts w:ascii="Cambria" w:hAnsi="Cambria"/>
        </w:rPr>
        <w:t xml:space="preserve">was extracted from dry tissue and was expected to contain more DNA than fresh tissue because of fresh tissue’s water content.  Therefore, tissue 1 was eluted twice with 50 µl TE buffer and the products labeled 1 and 1B.  Tissues </w:t>
      </w:r>
      <w:r>
        <w:t>1 and 3 formed a yellow product after extraction.</w:t>
      </w:r>
    </w:p>
    <w:p w:rsidR="00DE1974" w:rsidRDefault="00DE1974" w:rsidP="00DE1974">
      <w:pPr>
        <w:spacing w:line="480" w:lineRule="auto"/>
        <w:ind w:firstLine="720"/>
      </w:pPr>
      <w:r>
        <w:t xml:space="preserve">DNA extraction products were digested and run on an </w:t>
      </w:r>
      <w:proofErr w:type="spellStart"/>
      <w:r>
        <w:t>agarose</w:t>
      </w:r>
      <w:proofErr w:type="spellEnd"/>
      <w:r>
        <w:t xml:space="preserve"> gel along with the undigested samples (Figure 3).  There was no difference between the intensity of the bands between the digested and undigested samples.  Therefore, the DNA had to be further purified.</w:t>
      </w:r>
    </w:p>
    <w:p w:rsidR="00DE033B" w:rsidRPr="00DE033B" w:rsidRDefault="00DE033B" w:rsidP="00DE1974">
      <w:pPr>
        <w:spacing w:line="480" w:lineRule="auto"/>
        <w:ind w:firstLine="720"/>
        <w:rPr>
          <w:b/>
        </w:rPr>
      </w:pPr>
    </w:p>
    <w:p w:rsidR="00F70ACA" w:rsidRDefault="002E5ACA" w:rsidP="000048CE">
      <w:pPr>
        <w:spacing w:line="480" w:lineRule="auto"/>
      </w:pPr>
      <w:r w:rsidRPr="002E5ACA">
        <w:rPr>
          <w:noProof/>
        </w:rPr>
        <w:drawing>
          <wp:inline distT="0" distB="0" distL="0" distR="0">
            <wp:extent cx="3867150" cy="1737360"/>
            <wp:effectExtent l="19050" t="0" r="0" b="0"/>
            <wp:docPr id="16"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096000" cy="2667000"/>
                      <a:chOff x="2743200" y="2438400"/>
                      <a:chExt cx="6096000" cy="2667000"/>
                    </a:xfrm>
                  </a:grpSpPr>
                  <a:pic>
                    <a:nvPicPr>
                      <a:cNvPr id="2" name="Picture 1" descr="!STRAWBE.RRY"/>
                      <a:cNvPicPr/>
                    </a:nvPicPr>
                    <a:blipFill>
                      <a:blip r:embed="rId7"/>
                      <a:srcRect b="37622"/>
                      <a:stretch>
                        <a:fillRect/>
                      </a:stretch>
                    </a:blipFill>
                    <a:spPr>
                      <a:xfrm>
                        <a:off x="2743200" y="3124200"/>
                        <a:ext cx="4343400" cy="1981200"/>
                      </a:xfrm>
                      <a:prstGeom prst="rect">
                        <a:avLst/>
                      </a:prstGeom>
                    </a:spPr>
                  </a:pic>
                  <a:sp>
                    <a:nvSpPr>
                      <a:cNvPr id="4" name="TextBox 3"/>
                      <a:cNvSpPr txBox="1"/>
                    </a:nvSpPr>
                    <a:spPr>
                      <a:xfrm>
                        <a:off x="6400800" y="2667000"/>
                        <a:ext cx="461665" cy="914400"/>
                      </a:xfrm>
                      <a:prstGeom prst="rect">
                        <a:avLst/>
                      </a:prstGeom>
                      <a:noFill/>
                    </a:spPr>
                    <a:txSp>
                      <a:txBody>
                        <a:bodyPr vert="eaVert"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Dig. 1</a:t>
                          </a:r>
                          <a:endParaRPr lang="en-US" sz="1200" dirty="0"/>
                        </a:p>
                      </a:txBody>
                      <a:useSpRect/>
                    </a:txSp>
                  </a:sp>
                  <a:sp>
                    <a:nvSpPr>
                      <a:cNvPr id="5" name="TextBox 4"/>
                      <a:cNvSpPr txBox="1"/>
                    </a:nvSpPr>
                    <a:spPr>
                      <a:xfrm>
                        <a:off x="5562600" y="2667000"/>
                        <a:ext cx="461665" cy="914400"/>
                      </a:xfrm>
                      <a:prstGeom prst="rect">
                        <a:avLst/>
                      </a:prstGeom>
                      <a:noFill/>
                    </a:spPr>
                    <a:txSp>
                      <a:txBody>
                        <a:bodyPr vert="eaVert"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Dig. 2</a:t>
                          </a:r>
                          <a:endParaRPr lang="en-US" sz="1200" dirty="0"/>
                        </a:p>
                      </a:txBody>
                      <a:useSpRect/>
                    </a:txSp>
                  </a:sp>
                  <a:sp>
                    <a:nvSpPr>
                      <a:cNvPr id="6" name="TextBox 5"/>
                      <a:cNvSpPr txBox="1"/>
                    </a:nvSpPr>
                    <a:spPr>
                      <a:xfrm>
                        <a:off x="6172200" y="2590800"/>
                        <a:ext cx="369332" cy="914400"/>
                      </a:xfrm>
                      <a:prstGeom prst="rect">
                        <a:avLst/>
                      </a:prstGeom>
                      <a:noFill/>
                    </a:spPr>
                    <a:txSp>
                      <a:txBody>
                        <a:bodyPr vert="eaVert"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Dig. 1B</a:t>
                          </a:r>
                          <a:endParaRPr lang="en-US" sz="1200" dirty="0"/>
                        </a:p>
                      </a:txBody>
                      <a:useSpRect/>
                    </a:txSp>
                  </a:sp>
                  <a:sp>
                    <a:nvSpPr>
                      <a:cNvPr id="7" name="TextBox 6"/>
                      <a:cNvSpPr txBox="1"/>
                    </a:nvSpPr>
                    <a:spPr>
                      <a:xfrm>
                        <a:off x="5181600" y="2667000"/>
                        <a:ext cx="461665" cy="914400"/>
                      </a:xfrm>
                      <a:prstGeom prst="rect">
                        <a:avLst/>
                      </a:prstGeom>
                      <a:noFill/>
                    </a:spPr>
                    <a:txSp>
                      <a:txBody>
                        <a:bodyPr vert="eaVert"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Dig. 3</a:t>
                          </a:r>
                          <a:endParaRPr lang="en-US" sz="1200" dirty="0"/>
                        </a:p>
                      </a:txBody>
                      <a:useSpRect/>
                    </a:txSp>
                  </a:sp>
                  <a:sp>
                    <a:nvSpPr>
                      <a:cNvPr id="8" name="TextBox 7"/>
                      <a:cNvSpPr txBox="1"/>
                    </a:nvSpPr>
                    <a:spPr>
                      <a:xfrm>
                        <a:off x="4800600" y="2667000"/>
                        <a:ext cx="461665" cy="914400"/>
                      </a:xfrm>
                      <a:prstGeom prst="rect">
                        <a:avLst/>
                      </a:prstGeom>
                      <a:noFill/>
                    </a:spPr>
                    <a:txSp>
                      <a:txBody>
                        <a:bodyPr vert="eaVert"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Dig. 4</a:t>
                          </a:r>
                          <a:endParaRPr lang="en-US" sz="1200" dirty="0"/>
                        </a:p>
                      </a:txBody>
                      <a:useSpRect/>
                    </a:txSp>
                  </a:sp>
                  <a:sp>
                    <a:nvSpPr>
                      <a:cNvPr id="9" name="TextBox 8"/>
                      <a:cNvSpPr txBox="1"/>
                    </a:nvSpPr>
                    <a:spPr>
                      <a:xfrm>
                        <a:off x="6324600" y="2514600"/>
                        <a:ext cx="369332" cy="914400"/>
                      </a:xfrm>
                      <a:prstGeom prst="rect">
                        <a:avLst/>
                      </a:prstGeom>
                      <a:noFill/>
                    </a:spPr>
                    <a:txSp>
                      <a:txBody>
                        <a:bodyPr vert="eaVert"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err="1" smtClean="0"/>
                            <a:t>Undig</a:t>
                          </a:r>
                          <a:r>
                            <a:rPr lang="en-US" sz="1200" dirty="0" smtClean="0"/>
                            <a:t>.</a:t>
                          </a:r>
                          <a:r>
                            <a:rPr lang="en-US" sz="1200" dirty="0"/>
                            <a:t> </a:t>
                          </a:r>
                          <a:r>
                            <a:rPr lang="en-US" sz="1200" dirty="0" smtClean="0"/>
                            <a:t>1</a:t>
                          </a:r>
                        </a:p>
                      </a:txBody>
                      <a:useSpRect/>
                    </a:txSp>
                  </a:sp>
                  <a:sp>
                    <a:nvSpPr>
                      <a:cNvPr id="10" name="TextBox 9"/>
                      <a:cNvSpPr txBox="1"/>
                    </a:nvSpPr>
                    <a:spPr>
                      <a:xfrm>
                        <a:off x="5943600" y="2438400"/>
                        <a:ext cx="369332" cy="1143000"/>
                      </a:xfrm>
                      <a:prstGeom prst="rect">
                        <a:avLst/>
                      </a:prstGeom>
                      <a:noFill/>
                    </a:spPr>
                    <a:txSp>
                      <a:txBody>
                        <a:bodyPr vert="eaVert"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err="1" smtClean="0"/>
                            <a:t>Undig</a:t>
                          </a:r>
                          <a:r>
                            <a:rPr lang="en-US" sz="1200" dirty="0" smtClean="0"/>
                            <a:t>.</a:t>
                          </a:r>
                          <a:r>
                            <a:rPr lang="en-US" sz="1200" dirty="0"/>
                            <a:t> </a:t>
                          </a:r>
                          <a:r>
                            <a:rPr lang="en-US" sz="1200" dirty="0" smtClean="0"/>
                            <a:t>1B</a:t>
                          </a:r>
                        </a:p>
                      </a:txBody>
                      <a:useSpRect/>
                    </a:txSp>
                  </a:sp>
                  <a:sp>
                    <a:nvSpPr>
                      <a:cNvPr id="11" name="TextBox 10"/>
                      <a:cNvSpPr txBox="1"/>
                    </a:nvSpPr>
                    <a:spPr>
                      <a:xfrm>
                        <a:off x="4724400" y="2514600"/>
                        <a:ext cx="369332" cy="914400"/>
                      </a:xfrm>
                      <a:prstGeom prst="rect">
                        <a:avLst/>
                      </a:prstGeom>
                      <a:noFill/>
                    </a:spPr>
                    <a:txSp>
                      <a:txBody>
                        <a:bodyPr vert="eaVert"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err="1" smtClean="0"/>
                            <a:t>Undig</a:t>
                          </a:r>
                          <a:r>
                            <a:rPr lang="en-US" sz="1200" dirty="0" smtClean="0"/>
                            <a:t>.</a:t>
                          </a:r>
                          <a:r>
                            <a:rPr lang="en-US" sz="1200" dirty="0"/>
                            <a:t> </a:t>
                          </a:r>
                          <a:r>
                            <a:rPr lang="en-US" sz="1200" dirty="0"/>
                            <a:t>4</a:t>
                          </a:r>
                          <a:endParaRPr lang="en-US" sz="1200" dirty="0" smtClean="0"/>
                        </a:p>
                      </a:txBody>
                      <a:useSpRect/>
                    </a:txSp>
                  </a:sp>
                  <a:sp>
                    <a:nvSpPr>
                      <a:cNvPr id="12" name="TextBox 11"/>
                      <a:cNvSpPr txBox="1"/>
                    </a:nvSpPr>
                    <a:spPr>
                      <a:xfrm>
                        <a:off x="5105400" y="2514600"/>
                        <a:ext cx="369332" cy="914400"/>
                      </a:xfrm>
                      <a:prstGeom prst="rect">
                        <a:avLst/>
                      </a:prstGeom>
                      <a:noFill/>
                    </a:spPr>
                    <a:txSp>
                      <a:txBody>
                        <a:bodyPr vert="eaVert"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err="1" smtClean="0"/>
                            <a:t>Undig</a:t>
                          </a:r>
                          <a:r>
                            <a:rPr lang="en-US" sz="1200" dirty="0" smtClean="0"/>
                            <a:t>.</a:t>
                          </a:r>
                          <a:r>
                            <a:rPr lang="en-US" sz="1200" dirty="0"/>
                            <a:t> </a:t>
                          </a:r>
                          <a:r>
                            <a:rPr lang="en-US" sz="1200" dirty="0"/>
                            <a:t>3</a:t>
                          </a:r>
                          <a:endParaRPr lang="en-US" sz="1200" dirty="0" smtClean="0"/>
                        </a:p>
                      </a:txBody>
                      <a:useSpRect/>
                    </a:txSp>
                  </a:sp>
                  <a:sp>
                    <a:nvSpPr>
                      <a:cNvPr id="13" name="TextBox 12"/>
                      <a:cNvSpPr txBox="1"/>
                    </a:nvSpPr>
                    <a:spPr>
                      <a:xfrm>
                        <a:off x="5486400" y="2514600"/>
                        <a:ext cx="369332" cy="914400"/>
                      </a:xfrm>
                      <a:prstGeom prst="rect">
                        <a:avLst/>
                      </a:prstGeom>
                      <a:noFill/>
                    </a:spPr>
                    <a:txSp>
                      <a:txBody>
                        <a:bodyPr vert="eaVert"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err="1" smtClean="0"/>
                            <a:t>Undig</a:t>
                          </a:r>
                          <a:r>
                            <a:rPr lang="en-US" sz="1200" dirty="0" smtClean="0"/>
                            <a:t>.</a:t>
                          </a:r>
                          <a:r>
                            <a:rPr lang="en-US" sz="1200" dirty="0"/>
                            <a:t> </a:t>
                          </a:r>
                          <a:r>
                            <a:rPr lang="en-US" sz="1200" dirty="0"/>
                            <a:t>2</a:t>
                          </a:r>
                          <a:endParaRPr lang="en-US" sz="1200" dirty="0" smtClean="0"/>
                        </a:p>
                      </a:txBody>
                      <a:useSpRect/>
                    </a:txSp>
                  </a:sp>
                  <a:cxnSp>
                    <a:nvCxnSpPr>
                      <a:cNvPr id="18" name="Straight Arrow Connector 17"/>
                      <a:cNvCxnSpPr>
                        <a:stCxn id="2" idx="3"/>
                      </a:cNvCxnSpPr>
                    </a:nvCxnSpPr>
                    <a:spPr>
                      <a:xfrm flipH="1" flipV="1">
                        <a:off x="6019800" y="4038600"/>
                        <a:ext cx="1066800" cy="76200"/>
                      </a:xfrm>
                      <a:prstGeom prst="straightConnector1">
                        <a:avLst/>
                      </a:prstGeom>
                      <a:ln>
                        <a:solidFill>
                          <a:schemeClr val="bg1"/>
                        </a:solidFill>
                        <a:tailEnd type="arrow"/>
                      </a:ln>
                    </a:spPr>
                    <a:style>
                      <a:lnRef idx="2">
                        <a:schemeClr val="dk1"/>
                      </a:lnRef>
                      <a:fillRef idx="0">
                        <a:schemeClr val="dk1"/>
                      </a:fillRef>
                      <a:effectRef idx="1">
                        <a:schemeClr val="dk1"/>
                      </a:effectRef>
                      <a:fontRef idx="minor">
                        <a:schemeClr val="tx1"/>
                      </a:fontRef>
                    </a:style>
                  </a:cxnSp>
                  <a:cxnSp>
                    <a:nvCxnSpPr>
                      <a:cNvPr id="20" name="Straight Arrow Connector 19"/>
                      <a:cNvCxnSpPr/>
                    </a:nvCxnSpPr>
                    <a:spPr>
                      <a:xfrm rot="10800000" flipV="1">
                        <a:off x="6019800" y="3810000"/>
                        <a:ext cx="1066800" cy="76200"/>
                      </a:xfrm>
                      <a:prstGeom prst="straightConnector1">
                        <a:avLst/>
                      </a:prstGeom>
                      <a:ln>
                        <a:solidFill>
                          <a:schemeClr val="bg1"/>
                        </a:solidFill>
                        <a:tailEnd type="arrow"/>
                      </a:ln>
                    </a:spPr>
                    <a:style>
                      <a:lnRef idx="2">
                        <a:schemeClr val="dk1"/>
                      </a:lnRef>
                      <a:fillRef idx="0">
                        <a:schemeClr val="dk1"/>
                      </a:fillRef>
                      <a:effectRef idx="1">
                        <a:schemeClr val="dk1"/>
                      </a:effectRef>
                      <a:fontRef idx="minor">
                        <a:schemeClr val="tx1"/>
                      </a:fontRef>
                    </a:style>
                  </a:cxnSp>
                  <a:sp>
                    <a:nvSpPr>
                      <a:cNvPr id="23" name="TextBox 22"/>
                      <a:cNvSpPr txBox="1"/>
                    </a:nvSpPr>
                    <a:spPr>
                      <a:xfrm>
                        <a:off x="7010400" y="3657600"/>
                        <a:ext cx="1828800" cy="27699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3000bp</a:t>
                          </a:r>
                          <a:endParaRPr lang="en-US" sz="1200" dirty="0"/>
                        </a:p>
                      </a:txBody>
                      <a:useSpRect/>
                    </a:txSp>
                  </a:sp>
                  <a:sp>
                    <a:nvSpPr>
                      <a:cNvPr id="24" name="TextBox 23"/>
                      <a:cNvSpPr txBox="1"/>
                    </a:nvSpPr>
                    <a:spPr>
                      <a:xfrm>
                        <a:off x="7010400" y="3962400"/>
                        <a:ext cx="1600200" cy="27699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1000bp</a:t>
                          </a:r>
                          <a:endParaRPr lang="en-US" sz="1200" dirty="0"/>
                        </a:p>
                      </a:txBody>
                      <a:useSpRect/>
                    </a:txSp>
                  </a:sp>
                </lc:lockedCanvas>
              </a:graphicData>
            </a:graphic>
          </wp:inline>
        </w:drawing>
      </w:r>
    </w:p>
    <w:p w:rsidR="00715A3A" w:rsidRDefault="00715A3A" w:rsidP="000048CE">
      <w:r>
        <w:rPr>
          <w:b/>
        </w:rPr>
        <w:t xml:space="preserve">Figure 3.  </w:t>
      </w:r>
      <w:r>
        <w:t xml:space="preserve">Undigested and restriction enzyme digested </w:t>
      </w:r>
      <w:r w:rsidR="00DE1974">
        <w:t>entire genomic DNA.</w:t>
      </w:r>
    </w:p>
    <w:p w:rsidR="00DE1974" w:rsidRDefault="00DE1974" w:rsidP="00E50735">
      <w:pPr>
        <w:spacing w:line="480" w:lineRule="auto"/>
      </w:pPr>
    </w:p>
    <w:p w:rsidR="00DE1974" w:rsidRDefault="00DE1974" w:rsidP="00DE1974">
      <w:pPr>
        <w:spacing w:line="480" w:lineRule="auto"/>
        <w:ind w:firstLine="720"/>
        <w:rPr>
          <w:rFonts w:ascii="Cambria" w:hAnsi="Cambria"/>
        </w:rPr>
      </w:pPr>
      <w:r>
        <w:t xml:space="preserve">Tissues 1B and 4 were chosen to further purify since their bands were further defined.  A QIAGEN </w:t>
      </w:r>
      <w:proofErr w:type="spellStart"/>
      <w:r>
        <w:t>DNeasy</w:t>
      </w:r>
      <w:proofErr w:type="spellEnd"/>
      <w:r>
        <w:t xml:space="preserve"> plant </w:t>
      </w:r>
      <w:proofErr w:type="spellStart"/>
      <w:r>
        <w:t>minikit</w:t>
      </w:r>
      <w:proofErr w:type="spellEnd"/>
      <w:r>
        <w:t xml:space="preserve"> was used.  After the </w:t>
      </w:r>
      <w:proofErr w:type="spellStart"/>
      <w:r>
        <w:t>lysate</w:t>
      </w:r>
      <w:proofErr w:type="spellEnd"/>
      <w:r>
        <w:t xml:space="preserve"> was centrifuged, a large white pellet was noticed in both samples.  When Buffer AP3/E was added, precipitate was seen.  The final product was eluted with 800 </w:t>
      </w:r>
      <w:r>
        <w:rPr>
          <w:rFonts w:ascii="Cambria" w:hAnsi="Cambria"/>
        </w:rPr>
        <w:t>µl Buffer AE instead of 400 µ</w:t>
      </w:r>
      <w:proofErr w:type="gramStart"/>
      <w:r>
        <w:rPr>
          <w:rFonts w:ascii="Cambria" w:hAnsi="Cambria"/>
        </w:rPr>
        <w:t>l,</w:t>
      </w:r>
      <w:proofErr w:type="gramEnd"/>
      <w:r>
        <w:rPr>
          <w:rFonts w:ascii="Cambria" w:hAnsi="Cambria"/>
        </w:rPr>
        <w:t xml:space="preserve"> therefore the final DNA products were four times diluted. This error did not seem to cause any problems overall.</w:t>
      </w:r>
    </w:p>
    <w:p w:rsidR="00DE1974" w:rsidRDefault="00DE1974" w:rsidP="00DE1974">
      <w:pPr>
        <w:spacing w:line="480" w:lineRule="auto"/>
        <w:rPr>
          <w:rFonts w:ascii="Cambria" w:hAnsi="Cambria"/>
        </w:rPr>
      </w:pPr>
      <w:r>
        <w:rPr>
          <w:rFonts w:ascii="Cambria" w:hAnsi="Cambria"/>
        </w:rPr>
        <w:tab/>
        <w:t xml:space="preserve">Samples 2 and 3 were restriction enzyme digested again in addition to protease digestion.  8 µl </w:t>
      </w:r>
      <w:proofErr w:type="spellStart"/>
      <w:r>
        <w:rPr>
          <w:rFonts w:ascii="Cambria" w:hAnsi="Cambria"/>
        </w:rPr>
        <w:t>RNAase</w:t>
      </w:r>
      <w:proofErr w:type="spellEnd"/>
      <w:r>
        <w:rPr>
          <w:rFonts w:ascii="Cambria" w:hAnsi="Cambria"/>
        </w:rPr>
        <w:t xml:space="preserve"> free H</w:t>
      </w:r>
      <w:r w:rsidRPr="00DE1974">
        <w:rPr>
          <w:rFonts w:ascii="Cambria" w:hAnsi="Cambria"/>
          <w:vertAlign w:val="subscript"/>
        </w:rPr>
        <w:t>2</w:t>
      </w:r>
      <w:r>
        <w:rPr>
          <w:rFonts w:ascii="Cambria" w:hAnsi="Cambria"/>
        </w:rPr>
        <w:t xml:space="preserve">O, 10 µl DNA, 2 µl </w:t>
      </w:r>
      <w:r w:rsidR="00531F4E">
        <w:rPr>
          <w:rFonts w:ascii="Cambria" w:hAnsi="Cambria"/>
        </w:rPr>
        <w:t xml:space="preserve">(10 mg/ml) </w:t>
      </w:r>
      <w:proofErr w:type="spellStart"/>
      <w:r>
        <w:rPr>
          <w:rFonts w:ascii="Cambria" w:hAnsi="Cambria"/>
        </w:rPr>
        <w:t>RNAase</w:t>
      </w:r>
      <w:proofErr w:type="spellEnd"/>
      <w:r>
        <w:rPr>
          <w:rFonts w:ascii="Cambria" w:hAnsi="Cambria"/>
        </w:rPr>
        <w:t xml:space="preserve"> and 2 µl </w:t>
      </w:r>
      <w:r w:rsidR="00531F4E">
        <w:rPr>
          <w:rFonts w:ascii="Cambria" w:hAnsi="Cambria"/>
        </w:rPr>
        <w:t xml:space="preserve">(unknown concentration) </w:t>
      </w:r>
      <w:r>
        <w:rPr>
          <w:rFonts w:ascii="Cambria" w:hAnsi="Cambria"/>
        </w:rPr>
        <w:t>protease were mixed and incubated at room temperature for 10 minutes.  Then the samples were digested for 30 minutes in a 37°C water</w:t>
      </w:r>
      <w:r w:rsidR="00BA752D">
        <w:rPr>
          <w:rFonts w:ascii="Cambria" w:hAnsi="Cambria"/>
        </w:rPr>
        <w:t xml:space="preserve"> </w:t>
      </w:r>
      <w:r>
        <w:rPr>
          <w:rFonts w:ascii="Cambria" w:hAnsi="Cambria"/>
        </w:rPr>
        <w:t>bath.</w:t>
      </w:r>
    </w:p>
    <w:p w:rsidR="00DE1974" w:rsidRDefault="000048CE" w:rsidP="00DE1974">
      <w:pPr>
        <w:spacing w:line="480" w:lineRule="auto"/>
        <w:ind w:firstLine="720"/>
        <w:rPr>
          <w:rFonts w:ascii="Cambria" w:hAnsi="Cambria"/>
        </w:rPr>
      </w:pPr>
      <w:r>
        <w:rPr>
          <w:rFonts w:ascii="Cambria" w:hAnsi="Cambria"/>
        </w:rPr>
        <w:t xml:space="preserve">Five µl of the </w:t>
      </w:r>
      <w:r w:rsidR="00DE1974">
        <w:rPr>
          <w:rFonts w:ascii="Cambria" w:hAnsi="Cambria"/>
        </w:rPr>
        <w:t xml:space="preserve">further purified DNA samples were once again digested.  The purified digested and undigested samples 1B, 2, 3, and 4 run on a 1.2% </w:t>
      </w:r>
      <w:proofErr w:type="spellStart"/>
      <w:r w:rsidR="00DE1974">
        <w:rPr>
          <w:rFonts w:ascii="Cambria" w:hAnsi="Cambria"/>
        </w:rPr>
        <w:t>agarose</w:t>
      </w:r>
      <w:proofErr w:type="spellEnd"/>
      <w:r w:rsidR="00DE1974">
        <w:rPr>
          <w:rFonts w:ascii="Cambria" w:hAnsi="Cambria"/>
        </w:rPr>
        <w:t xml:space="preserve"> gel (Figure 4).  1B and 4 showed differences between digested and undigested samples and could be used in PCR.  The bands on 4 were much brighter than 1B, therefore the DNA 4 is more highly concentrated and less should be used in PCR.  </w:t>
      </w:r>
      <w:r w:rsidR="00DE1974">
        <w:rPr>
          <w:rFonts w:ascii="Cambria" w:hAnsi="Cambria"/>
        </w:rPr>
        <w:br/>
        <w:t>Samples 2 and 3 were not clean and still contained large proteins, which may imply that the protease did not work.</w:t>
      </w:r>
    </w:p>
    <w:p w:rsidR="005115F1" w:rsidRDefault="005115F1" w:rsidP="00E50735">
      <w:pPr>
        <w:spacing w:line="480" w:lineRule="auto"/>
      </w:pPr>
    </w:p>
    <w:p w:rsidR="00F70ACA" w:rsidRDefault="00F70ACA" w:rsidP="00E50735">
      <w:pPr>
        <w:spacing w:line="480" w:lineRule="auto"/>
      </w:pPr>
    </w:p>
    <w:p w:rsidR="00A30C1E" w:rsidRPr="00E50735" w:rsidRDefault="00373444" w:rsidP="000048CE">
      <w:pPr>
        <w:spacing w:line="480" w:lineRule="auto"/>
      </w:pPr>
      <w:r w:rsidRPr="00373444">
        <w:rPr>
          <w:noProof/>
        </w:rPr>
        <w:drawing>
          <wp:inline distT="0" distB="0" distL="0" distR="0">
            <wp:extent cx="3655803" cy="2751827"/>
            <wp:effectExtent l="19050" t="0" r="0" b="0"/>
            <wp:docPr id="17"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724400" cy="3352800"/>
                      <a:chOff x="2971800" y="2133600"/>
                      <a:chExt cx="4724400" cy="3352800"/>
                    </a:xfrm>
                  </a:grpSpPr>
                  <a:pic>
                    <a:nvPicPr>
                      <a:cNvPr id="2" name="Picture 1" descr="strawberry.doc.doc"/>
                      <a:cNvPicPr/>
                    </a:nvPicPr>
                    <a:blipFill>
                      <a:blip r:embed="rId8"/>
                      <a:srcRect l="50000" b="39535"/>
                      <a:stretch>
                        <a:fillRect/>
                      </a:stretch>
                    </a:blipFill>
                    <a:spPr>
                      <a:xfrm>
                        <a:off x="2971800" y="3200400"/>
                        <a:ext cx="2895600" cy="2286000"/>
                      </a:xfrm>
                      <a:prstGeom prst="rect">
                        <a:avLst/>
                      </a:prstGeom>
                    </a:spPr>
                  </a:pic>
                  <a:sp>
                    <a:nvSpPr>
                      <a:cNvPr id="3" name="TextBox 2"/>
                      <a:cNvSpPr txBox="1"/>
                    </a:nvSpPr>
                    <a:spPr>
                      <a:xfrm>
                        <a:off x="5257800" y="2438400"/>
                        <a:ext cx="369332" cy="1143000"/>
                      </a:xfrm>
                      <a:prstGeom prst="rect">
                        <a:avLst/>
                      </a:prstGeom>
                      <a:noFill/>
                    </a:spPr>
                    <a:txSp>
                      <a:txBody>
                        <a:bodyPr vert="eaVert"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err="1" smtClean="0"/>
                            <a:t>Undig</a:t>
                          </a:r>
                          <a:r>
                            <a:rPr lang="en-US" sz="1200" dirty="0" smtClean="0"/>
                            <a:t>.</a:t>
                          </a:r>
                          <a:r>
                            <a:rPr lang="en-US" sz="1200" dirty="0"/>
                            <a:t> </a:t>
                          </a:r>
                          <a:r>
                            <a:rPr lang="en-US" sz="1200" dirty="0" smtClean="0"/>
                            <a:t>1B</a:t>
                          </a:r>
                        </a:p>
                      </a:txBody>
                      <a:useSpRect/>
                    </a:txSp>
                  </a:sp>
                  <a:sp>
                    <a:nvSpPr>
                      <a:cNvPr id="4" name="TextBox 3"/>
                      <a:cNvSpPr txBox="1"/>
                    </a:nvSpPr>
                    <a:spPr>
                      <a:xfrm>
                        <a:off x="5029200" y="2590800"/>
                        <a:ext cx="369332" cy="914400"/>
                      </a:xfrm>
                      <a:prstGeom prst="rect">
                        <a:avLst/>
                      </a:prstGeom>
                      <a:noFill/>
                    </a:spPr>
                    <a:txSp>
                      <a:txBody>
                        <a:bodyPr vert="eaVert"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Dig. 1B</a:t>
                          </a:r>
                          <a:endParaRPr lang="en-US" sz="1200" dirty="0"/>
                        </a:p>
                      </a:txBody>
                      <a:useSpRect/>
                    </a:txSp>
                  </a:sp>
                  <a:sp>
                    <a:nvSpPr>
                      <a:cNvPr id="5" name="TextBox 4"/>
                      <a:cNvSpPr txBox="1"/>
                    </a:nvSpPr>
                    <a:spPr>
                      <a:xfrm>
                        <a:off x="4800600" y="2514600"/>
                        <a:ext cx="369332" cy="914400"/>
                      </a:xfrm>
                      <a:prstGeom prst="rect">
                        <a:avLst/>
                      </a:prstGeom>
                      <a:noFill/>
                    </a:spPr>
                    <a:txSp>
                      <a:txBody>
                        <a:bodyPr vert="eaVert"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err="1" smtClean="0"/>
                            <a:t>Undig</a:t>
                          </a:r>
                          <a:r>
                            <a:rPr lang="en-US" sz="1200" dirty="0" smtClean="0"/>
                            <a:t>.</a:t>
                          </a:r>
                          <a:r>
                            <a:rPr lang="en-US" sz="1200" dirty="0"/>
                            <a:t> </a:t>
                          </a:r>
                          <a:r>
                            <a:rPr lang="en-US" sz="1200" dirty="0"/>
                            <a:t>4</a:t>
                          </a:r>
                          <a:endParaRPr lang="en-US" sz="1200" dirty="0" smtClean="0"/>
                        </a:p>
                      </a:txBody>
                      <a:useSpRect/>
                    </a:txSp>
                  </a:sp>
                  <a:sp>
                    <a:nvSpPr>
                      <a:cNvPr id="6" name="TextBox 5"/>
                      <a:cNvSpPr txBox="1"/>
                    </a:nvSpPr>
                    <a:spPr>
                      <a:xfrm>
                        <a:off x="4419600" y="2667000"/>
                        <a:ext cx="461665" cy="914400"/>
                      </a:xfrm>
                      <a:prstGeom prst="rect">
                        <a:avLst/>
                      </a:prstGeom>
                      <a:noFill/>
                    </a:spPr>
                    <a:txSp>
                      <a:txBody>
                        <a:bodyPr vert="eaVert"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Dig. 4</a:t>
                          </a:r>
                          <a:endParaRPr lang="en-US" sz="1200" dirty="0"/>
                        </a:p>
                      </a:txBody>
                      <a:useSpRect/>
                    </a:txSp>
                  </a:sp>
                  <a:sp>
                    <a:nvSpPr>
                      <a:cNvPr id="7" name="TextBox 6"/>
                      <a:cNvSpPr txBox="1"/>
                    </a:nvSpPr>
                    <a:spPr>
                      <a:xfrm>
                        <a:off x="4267200" y="2133600"/>
                        <a:ext cx="369332" cy="1524000"/>
                      </a:xfrm>
                      <a:prstGeom prst="rect">
                        <a:avLst/>
                      </a:prstGeom>
                      <a:noFill/>
                    </a:spPr>
                    <a:txSp>
                      <a:txBody>
                        <a:bodyPr vert="eaVert"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200 </a:t>
                          </a:r>
                          <a:r>
                            <a:rPr lang="en-US" sz="1200" dirty="0" err="1" smtClean="0"/>
                            <a:t>bp</a:t>
                          </a:r>
                          <a:r>
                            <a:rPr lang="en-US" sz="1200" dirty="0" smtClean="0"/>
                            <a:t> Marker</a:t>
                          </a:r>
                        </a:p>
                      </a:txBody>
                      <a:useSpRect/>
                    </a:txSp>
                  </a:sp>
                  <a:sp>
                    <a:nvSpPr>
                      <a:cNvPr id="8" name="TextBox 7"/>
                      <a:cNvSpPr txBox="1"/>
                    </a:nvSpPr>
                    <a:spPr>
                      <a:xfrm>
                        <a:off x="3124200" y="2667000"/>
                        <a:ext cx="461665" cy="914400"/>
                      </a:xfrm>
                      <a:prstGeom prst="rect">
                        <a:avLst/>
                      </a:prstGeom>
                      <a:noFill/>
                    </a:spPr>
                    <a:txSp>
                      <a:txBody>
                        <a:bodyPr vert="eaVert"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Dig. 2</a:t>
                          </a:r>
                          <a:endParaRPr lang="en-US" sz="1200" dirty="0"/>
                        </a:p>
                      </a:txBody>
                      <a:useSpRect/>
                    </a:txSp>
                  </a:sp>
                  <a:sp>
                    <a:nvSpPr>
                      <a:cNvPr id="9" name="TextBox 8"/>
                      <a:cNvSpPr txBox="1"/>
                    </a:nvSpPr>
                    <a:spPr>
                      <a:xfrm>
                        <a:off x="3657600" y="2667000"/>
                        <a:ext cx="461665" cy="914400"/>
                      </a:xfrm>
                      <a:prstGeom prst="rect">
                        <a:avLst/>
                      </a:prstGeom>
                      <a:noFill/>
                    </a:spPr>
                    <a:txSp>
                      <a:txBody>
                        <a:bodyPr vert="eaVert"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Dig. 3</a:t>
                          </a:r>
                          <a:endParaRPr lang="en-US" sz="1200" dirty="0"/>
                        </a:p>
                      </a:txBody>
                      <a:useSpRect/>
                    </a:txSp>
                  </a:sp>
                  <a:sp>
                    <a:nvSpPr>
                      <a:cNvPr id="10" name="TextBox 9"/>
                      <a:cNvSpPr txBox="1"/>
                    </a:nvSpPr>
                    <a:spPr>
                      <a:xfrm>
                        <a:off x="3962400" y="2514600"/>
                        <a:ext cx="369332" cy="914400"/>
                      </a:xfrm>
                      <a:prstGeom prst="rect">
                        <a:avLst/>
                      </a:prstGeom>
                      <a:noFill/>
                    </a:spPr>
                    <a:txSp>
                      <a:txBody>
                        <a:bodyPr vert="eaVert"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err="1" smtClean="0"/>
                            <a:t>Undig</a:t>
                          </a:r>
                          <a:r>
                            <a:rPr lang="en-US" sz="1200" dirty="0" smtClean="0"/>
                            <a:t>.</a:t>
                          </a:r>
                          <a:r>
                            <a:rPr lang="en-US" sz="1200" dirty="0"/>
                            <a:t> </a:t>
                          </a:r>
                          <a:r>
                            <a:rPr lang="en-US" sz="1200" dirty="0"/>
                            <a:t>3</a:t>
                          </a:r>
                          <a:endParaRPr lang="en-US" sz="1200" dirty="0" smtClean="0"/>
                        </a:p>
                      </a:txBody>
                      <a:useSpRect/>
                    </a:txSp>
                  </a:sp>
                  <a:sp>
                    <a:nvSpPr>
                      <a:cNvPr id="11" name="TextBox 10"/>
                      <a:cNvSpPr txBox="1"/>
                    </a:nvSpPr>
                    <a:spPr>
                      <a:xfrm>
                        <a:off x="3505200" y="2590800"/>
                        <a:ext cx="369332" cy="914400"/>
                      </a:xfrm>
                      <a:prstGeom prst="rect">
                        <a:avLst/>
                      </a:prstGeom>
                      <a:noFill/>
                    </a:spPr>
                    <a:txSp>
                      <a:txBody>
                        <a:bodyPr vert="eaVert"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err="1" smtClean="0"/>
                            <a:t>Undig</a:t>
                          </a:r>
                          <a:r>
                            <a:rPr lang="en-US" sz="1200" dirty="0" smtClean="0"/>
                            <a:t>.</a:t>
                          </a:r>
                          <a:r>
                            <a:rPr lang="en-US" sz="1200" dirty="0"/>
                            <a:t> </a:t>
                          </a:r>
                          <a:r>
                            <a:rPr lang="en-US" sz="1200" dirty="0"/>
                            <a:t>2</a:t>
                          </a:r>
                          <a:endParaRPr lang="en-US" sz="1200" dirty="0" smtClean="0"/>
                        </a:p>
                      </a:txBody>
                      <a:useSpRect/>
                    </a:txSp>
                  </a:sp>
                  <a:cxnSp>
                    <a:nvCxnSpPr>
                      <a:cNvPr id="13" name="Straight Arrow Connector 12"/>
                      <a:cNvCxnSpPr/>
                    </a:nvCxnSpPr>
                    <a:spPr>
                      <a:xfrm rot="10800000" flipV="1">
                        <a:off x="4495800" y="3810000"/>
                        <a:ext cx="1600200" cy="76200"/>
                      </a:xfrm>
                      <a:prstGeom prst="straightConnector1">
                        <a:avLst/>
                      </a:prstGeom>
                      <a:ln>
                        <a:solidFill>
                          <a:schemeClr val="bg1"/>
                        </a:solidFill>
                        <a:tailEnd type="arrow"/>
                      </a:ln>
                    </a:spPr>
                    <a:style>
                      <a:lnRef idx="2">
                        <a:schemeClr val="dk1"/>
                      </a:lnRef>
                      <a:fillRef idx="0">
                        <a:schemeClr val="dk1"/>
                      </a:fillRef>
                      <a:effectRef idx="1">
                        <a:schemeClr val="dk1"/>
                      </a:effectRef>
                      <a:fontRef idx="minor">
                        <a:schemeClr val="tx1"/>
                      </a:fontRef>
                    </a:style>
                  </a:cxnSp>
                  <a:cxnSp>
                    <a:nvCxnSpPr>
                      <a:cNvPr id="15" name="Straight Arrow Connector 14"/>
                      <a:cNvCxnSpPr/>
                    </a:nvCxnSpPr>
                    <a:spPr>
                      <a:xfrm rot="10800000">
                        <a:off x="4495800" y="3962400"/>
                        <a:ext cx="1524000" cy="228600"/>
                      </a:xfrm>
                      <a:prstGeom prst="straightConnector1">
                        <a:avLst/>
                      </a:prstGeom>
                      <a:ln>
                        <a:solidFill>
                          <a:schemeClr val="bg1"/>
                        </a:solidFill>
                        <a:tailEnd type="arrow"/>
                      </a:ln>
                    </a:spPr>
                    <a:style>
                      <a:lnRef idx="3">
                        <a:schemeClr val="dk1"/>
                      </a:lnRef>
                      <a:fillRef idx="0">
                        <a:schemeClr val="dk1"/>
                      </a:fillRef>
                      <a:effectRef idx="2">
                        <a:schemeClr val="dk1"/>
                      </a:effectRef>
                      <a:fontRef idx="minor">
                        <a:schemeClr val="tx1"/>
                      </a:fontRef>
                    </a:style>
                  </a:cxnSp>
                  <a:sp>
                    <a:nvSpPr>
                      <a:cNvPr id="17" name="TextBox 16"/>
                      <a:cNvSpPr txBox="1"/>
                    </a:nvSpPr>
                    <a:spPr>
                      <a:xfrm>
                        <a:off x="5867400" y="3657600"/>
                        <a:ext cx="1828800" cy="27699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a:t>2</a:t>
                          </a:r>
                          <a:r>
                            <a:rPr lang="en-US" sz="1200" dirty="0" smtClean="0"/>
                            <a:t>000bp</a:t>
                          </a:r>
                          <a:endParaRPr lang="en-US" sz="1200" dirty="0"/>
                        </a:p>
                      </a:txBody>
                      <a:useSpRect/>
                    </a:txSp>
                  </a:sp>
                  <a:sp>
                    <a:nvSpPr>
                      <a:cNvPr id="18" name="TextBox 17"/>
                      <a:cNvSpPr txBox="1"/>
                    </a:nvSpPr>
                    <a:spPr>
                      <a:xfrm>
                        <a:off x="5867400" y="4038600"/>
                        <a:ext cx="1600200" cy="27699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1000bp</a:t>
                          </a:r>
                          <a:endParaRPr lang="en-US" sz="1200" dirty="0"/>
                        </a:p>
                      </a:txBody>
                      <a:useSpRect/>
                    </a:txSp>
                  </a:sp>
                </lc:lockedCanvas>
              </a:graphicData>
            </a:graphic>
          </wp:inline>
        </w:drawing>
      </w:r>
    </w:p>
    <w:p w:rsidR="00C57DE4" w:rsidRDefault="00F70ACA" w:rsidP="000048CE">
      <w:r>
        <w:rPr>
          <w:b/>
        </w:rPr>
        <w:t xml:space="preserve">Figure 4.  </w:t>
      </w:r>
      <w:r w:rsidR="000048CE">
        <w:t>Undigested and restriction enzyme/protease digested whole genomic DNA.</w:t>
      </w:r>
    </w:p>
    <w:p w:rsidR="00C57DE4" w:rsidRDefault="00C57DE4" w:rsidP="000048CE"/>
    <w:p w:rsidR="000048CE" w:rsidRDefault="00C57DE4" w:rsidP="00BA752D">
      <w:pPr>
        <w:spacing w:line="480" w:lineRule="auto"/>
        <w:ind w:firstLine="720"/>
      </w:pPr>
      <w:r>
        <w:t xml:space="preserve">Extracted DNA was not clean even after restriction enzyme </w:t>
      </w:r>
      <w:r w:rsidR="00F75B83">
        <w:t>and protease digestion (Figures 3, 4</w:t>
      </w:r>
      <w:r>
        <w:t xml:space="preserve">).  The samples contained a large amount of contamination due to poor DNA extraction protocol.  The samples were re-purified through use of the QIAGEN </w:t>
      </w:r>
      <w:proofErr w:type="spellStart"/>
      <w:r>
        <w:t>DNeasy</w:t>
      </w:r>
      <w:proofErr w:type="spellEnd"/>
      <w:r>
        <w:t xml:space="preserve"> plant </w:t>
      </w:r>
      <w:proofErr w:type="spellStart"/>
      <w:r>
        <w:t>minikit</w:t>
      </w:r>
      <w:proofErr w:type="spellEnd"/>
      <w:r>
        <w:t xml:space="preserve">.  This issue may be because the </w:t>
      </w:r>
      <w:proofErr w:type="spellStart"/>
      <w:r>
        <w:t>minikit</w:t>
      </w:r>
      <w:proofErr w:type="spellEnd"/>
      <w:r>
        <w:t xml:space="preserve"> was plant specific, whereas the digestions were not.  Also, the </w:t>
      </w:r>
      <w:r>
        <w:rPr>
          <w:i/>
        </w:rPr>
        <w:t>EcoR1</w:t>
      </w:r>
      <w:r>
        <w:t xml:space="preserve"> may not have been in high enough concentration or run long enough to digest the large proteins.</w:t>
      </w:r>
    </w:p>
    <w:p w:rsidR="0025692B" w:rsidRDefault="000048CE" w:rsidP="000048CE">
      <w:pPr>
        <w:spacing w:line="480" w:lineRule="auto"/>
        <w:ind w:firstLine="720"/>
        <w:rPr>
          <w:rFonts w:ascii="Cambria" w:hAnsi="Cambria"/>
        </w:rPr>
      </w:pPr>
      <w:r>
        <w:rPr>
          <w:rFonts w:ascii="Cambria" w:hAnsi="Cambria"/>
        </w:rPr>
        <w:t xml:space="preserve">A temperature annealing analysis PCR was done to amplify the </w:t>
      </w:r>
      <w:proofErr w:type="spellStart"/>
      <w:r w:rsidRPr="000048CE">
        <w:rPr>
          <w:rFonts w:ascii="Cambria" w:hAnsi="Cambria"/>
          <w:i/>
        </w:rPr>
        <w:t>FaQR</w:t>
      </w:r>
      <w:proofErr w:type="spellEnd"/>
      <w:r>
        <w:rPr>
          <w:rFonts w:ascii="Cambria" w:hAnsi="Cambria"/>
        </w:rPr>
        <w:t xml:space="preserve"> region using both primer sets, FaQR1/FaQR3 and FaQR2/FaQR, with the purified 1B and 4 DNA</w:t>
      </w:r>
      <w:r w:rsidR="00F75B83">
        <w:rPr>
          <w:rFonts w:ascii="Cambria" w:hAnsi="Cambria"/>
        </w:rPr>
        <w:t xml:space="preserve"> (T</w:t>
      </w:r>
      <w:r w:rsidR="0025692B">
        <w:rPr>
          <w:rFonts w:ascii="Cambria" w:hAnsi="Cambria"/>
        </w:rPr>
        <w:t>able 2)</w:t>
      </w:r>
      <w:r>
        <w:rPr>
          <w:rFonts w:ascii="Cambria" w:hAnsi="Cambria"/>
        </w:rPr>
        <w:t xml:space="preserve">. The positive control was used to ensure the master mix worked.  A negative control, the cocktail without template, was amplified to make sure </w:t>
      </w:r>
      <w:r w:rsidR="0025692B">
        <w:rPr>
          <w:rFonts w:ascii="Cambria" w:hAnsi="Cambria"/>
        </w:rPr>
        <w:t>reagents were not contaminated.  PCR program “Strawberry” was run with a g</w:t>
      </w:r>
      <w:r w:rsidR="00F75B83">
        <w:rPr>
          <w:rFonts w:ascii="Cambria" w:hAnsi="Cambria"/>
        </w:rPr>
        <w:t>radient annealing temperature (T</w:t>
      </w:r>
      <w:r w:rsidR="0025692B">
        <w:rPr>
          <w:rFonts w:ascii="Cambria" w:hAnsi="Cambria"/>
        </w:rPr>
        <w:t>able 3).</w:t>
      </w:r>
    </w:p>
    <w:p w:rsidR="0025692B" w:rsidRDefault="0025692B" w:rsidP="000048CE">
      <w:pPr>
        <w:spacing w:line="480" w:lineRule="auto"/>
        <w:ind w:firstLine="720"/>
        <w:rPr>
          <w:rFonts w:ascii="Cambria" w:hAnsi="Cambria"/>
        </w:rPr>
      </w:pPr>
    </w:p>
    <w:p w:rsidR="0068394C" w:rsidRDefault="0025692B" w:rsidP="0068394C">
      <w:pPr>
        <w:jc w:val="center"/>
        <w:rPr>
          <w:rFonts w:ascii="Cambria" w:hAnsi="Cambria"/>
        </w:rPr>
      </w:pPr>
      <w:r>
        <w:rPr>
          <w:rFonts w:ascii="Cambria" w:hAnsi="Cambria"/>
          <w:b/>
        </w:rPr>
        <w:t>Table 2</w:t>
      </w:r>
      <w:r w:rsidRPr="0025692B">
        <w:rPr>
          <w:rFonts w:ascii="Cambria" w:hAnsi="Cambria"/>
          <w:b/>
        </w:rPr>
        <w:t>.</w:t>
      </w:r>
      <w:r>
        <w:rPr>
          <w:rFonts w:ascii="Cambria" w:hAnsi="Cambria"/>
        </w:rPr>
        <w:t xml:space="preserve">  </w:t>
      </w:r>
      <w:proofErr w:type="gramStart"/>
      <w:r>
        <w:rPr>
          <w:rFonts w:ascii="Cambria" w:hAnsi="Cambria"/>
        </w:rPr>
        <w:t>Temperature annealing analysis vial tissue, primers and annealing temperatures.</w:t>
      </w:r>
      <w:proofErr w:type="gramEnd"/>
    </w:p>
    <w:p w:rsidR="0025692B" w:rsidRDefault="0025692B" w:rsidP="0068394C">
      <w:pPr>
        <w:jc w:val="center"/>
        <w:rPr>
          <w:rFonts w:ascii="Cambria" w:hAnsi="Cambria"/>
        </w:rPr>
      </w:pPr>
    </w:p>
    <w:tbl>
      <w:tblPr>
        <w:tblStyle w:val="TableGrid"/>
        <w:tblW w:w="0" w:type="auto"/>
        <w:tblLook w:val="00BF"/>
      </w:tblPr>
      <w:tblGrid>
        <w:gridCol w:w="2214"/>
        <w:gridCol w:w="2214"/>
        <w:gridCol w:w="2214"/>
        <w:gridCol w:w="2214"/>
      </w:tblGrid>
      <w:tr w:rsidR="0025692B">
        <w:tc>
          <w:tcPr>
            <w:tcW w:w="2214" w:type="dxa"/>
          </w:tcPr>
          <w:p w:rsidR="0025692B" w:rsidRPr="0025692B" w:rsidRDefault="0025692B" w:rsidP="00E37E75">
            <w:pPr>
              <w:rPr>
                <w:rFonts w:ascii="Cambria" w:hAnsi="Cambria"/>
                <w:b/>
              </w:rPr>
            </w:pPr>
            <w:r w:rsidRPr="0025692B">
              <w:rPr>
                <w:rFonts w:ascii="Cambria" w:hAnsi="Cambria"/>
                <w:b/>
              </w:rPr>
              <w:t>Vial</w:t>
            </w:r>
          </w:p>
        </w:tc>
        <w:tc>
          <w:tcPr>
            <w:tcW w:w="2214" w:type="dxa"/>
          </w:tcPr>
          <w:p w:rsidR="0025692B" w:rsidRPr="0025692B" w:rsidRDefault="0025692B" w:rsidP="00E37E75">
            <w:pPr>
              <w:rPr>
                <w:rFonts w:ascii="Cambria" w:hAnsi="Cambria"/>
                <w:b/>
              </w:rPr>
            </w:pPr>
            <w:r w:rsidRPr="0025692B">
              <w:rPr>
                <w:rFonts w:ascii="Cambria" w:hAnsi="Cambria"/>
                <w:b/>
              </w:rPr>
              <w:t>Tissue</w:t>
            </w:r>
          </w:p>
        </w:tc>
        <w:tc>
          <w:tcPr>
            <w:tcW w:w="2214" w:type="dxa"/>
          </w:tcPr>
          <w:p w:rsidR="0025692B" w:rsidRPr="0025692B" w:rsidRDefault="0025692B" w:rsidP="00E37E75">
            <w:pPr>
              <w:rPr>
                <w:rFonts w:ascii="Cambria" w:hAnsi="Cambria"/>
                <w:b/>
              </w:rPr>
            </w:pPr>
            <w:r w:rsidRPr="0025692B">
              <w:rPr>
                <w:rFonts w:ascii="Cambria" w:hAnsi="Cambria"/>
                <w:b/>
              </w:rPr>
              <w:t>Primer Pair</w:t>
            </w:r>
          </w:p>
        </w:tc>
        <w:tc>
          <w:tcPr>
            <w:tcW w:w="2214" w:type="dxa"/>
          </w:tcPr>
          <w:p w:rsidR="0025692B" w:rsidRPr="0025692B" w:rsidRDefault="0025692B" w:rsidP="00E37E75">
            <w:pPr>
              <w:rPr>
                <w:rFonts w:ascii="Cambria" w:hAnsi="Cambria"/>
                <w:b/>
              </w:rPr>
            </w:pPr>
            <w:r w:rsidRPr="0025692B">
              <w:rPr>
                <w:rFonts w:ascii="Cambria" w:hAnsi="Cambria"/>
                <w:b/>
              </w:rPr>
              <w:t>Annealing Temperature (°C)</w:t>
            </w:r>
          </w:p>
        </w:tc>
      </w:tr>
      <w:tr w:rsidR="0025692B">
        <w:tc>
          <w:tcPr>
            <w:tcW w:w="2214" w:type="dxa"/>
          </w:tcPr>
          <w:p w:rsidR="0025692B" w:rsidRDefault="0025692B" w:rsidP="00E37E75">
            <w:pPr>
              <w:rPr>
                <w:rFonts w:ascii="Cambria" w:hAnsi="Cambria"/>
              </w:rPr>
            </w:pPr>
            <w:r>
              <w:rPr>
                <w:rFonts w:ascii="Cambria" w:hAnsi="Cambria"/>
              </w:rPr>
              <w:t>1</w:t>
            </w:r>
          </w:p>
        </w:tc>
        <w:tc>
          <w:tcPr>
            <w:tcW w:w="2214" w:type="dxa"/>
          </w:tcPr>
          <w:p w:rsidR="0025692B" w:rsidRDefault="0025692B" w:rsidP="00E37E75">
            <w:pPr>
              <w:rPr>
                <w:rFonts w:ascii="Cambria" w:hAnsi="Cambria"/>
              </w:rPr>
            </w:pPr>
            <w:r>
              <w:rPr>
                <w:rFonts w:ascii="Cambria" w:hAnsi="Cambria"/>
              </w:rPr>
              <w:t>1B</w:t>
            </w:r>
          </w:p>
        </w:tc>
        <w:tc>
          <w:tcPr>
            <w:tcW w:w="2214" w:type="dxa"/>
          </w:tcPr>
          <w:p w:rsidR="0025692B" w:rsidRDefault="0025692B" w:rsidP="00E37E75">
            <w:pPr>
              <w:rPr>
                <w:rFonts w:ascii="Cambria" w:hAnsi="Cambria"/>
              </w:rPr>
            </w:pPr>
            <w:r>
              <w:rPr>
                <w:rFonts w:ascii="Cambria" w:hAnsi="Cambria"/>
              </w:rPr>
              <w:t>FaQR1/FaQR3</w:t>
            </w:r>
          </w:p>
        </w:tc>
        <w:tc>
          <w:tcPr>
            <w:tcW w:w="2214" w:type="dxa"/>
          </w:tcPr>
          <w:p w:rsidR="0025692B" w:rsidRDefault="0025692B" w:rsidP="00E37E75">
            <w:pPr>
              <w:rPr>
                <w:rFonts w:ascii="Cambria" w:hAnsi="Cambria"/>
              </w:rPr>
            </w:pPr>
            <w:r>
              <w:rPr>
                <w:rFonts w:ascii="Cambria" w:hAnsi="Cambria"/>
              </w:rPr>
              <w:t>50.0</w:t>
            </w:r>
          </w:p>
        </w:tc>
      </w:tr>
      <w:tr w:rsidR="0025692B">
        <w:tc>
          <w:tcPr>
            <w:tcW w:w="2214" w:type="dxa"/>
          </w:tcPr>
          <w:p w:rsidR="0025692B" w:rsidRDefault="0025692B" w:rsidP="00E37E75">
            <w:pPr>
              <w:rPr>
                <w:rFonts w:ascii="Cambria" w:hAnsi="Cambria"/>
              </w:rPr>
            </w:pPr>
            <w:r>
              <w:rPr>
                <w:rFonts w:ascii="Cambria" w:hAnsi="Cambria"/>
              </w:rPr>
              <w:t>2</w:t>
            </w:r>
          </w:p>
        </w:tc>
        <w:tc>
          <w:tcPr>
            <w:tcW w:w="2214" w:type="dxa"/>
          </w:tcPr>
          <w:p w:rsidR="0025692B" w:rsidRDefault="0025692B" w:rsidP="00E37E75">
            <w:pPr>
              <w:rPr>
                <w:rFonts w:ascii="Cambria" w:hAnsi="Cambria"/>
              </w:rPr>
            </w:pPr>
            <w:r>
              <w:rPr>
                <w:rFonts w:ascii="Cambria" w:hAnsi="Cambria"/>
              </w:rPr>
              <w:t>1B</w:t>
            </w:r>
          </w:p>
        </w:tc>
        <w:tc>
          <w:tcPr>
            <w:tcW w:w="2214" w:type="dxa"/>
          </w:tcPr>
          <w:p w:rsidR="0025692B" w:rsidRDefault="0025692B" w:rsidP="00E37E75">
            <w:pPr>
              <w:rPr>
                <w:rFonts w:ascii="Cambria" w:hAnsi="Cambria"/>
              </w:rPr>
            </w:pPr>
            <w:r>
              <w:rPr>
                <w:rFonts w:ascii="Cambria" w:hAnsi="Cambria"/>
              </w:rPr>
              <w:t>FaQR1/FaQR3</w:t>
            </w:r>
          </w:p>
        </w:tc>
        <w:tc>
          <w:tcPr>
            <w:tcW w:w="2214" w:type="dxa"/>
          </w:tcPr>
          <w:p w:rsidR="0025692B" w:rsidRDefault="0025692B" w:rsidP="00E37E75">
            <w:pPr>
              <w:rPr>
                <w:rFonts w:ascii="Cambria" w:hAnsi="Cambria"/>
              </w:rPr>
            </w:pPr>
            <w:r>
              <w:rPr>
                <w:rFonts w:ascii="Cambria" w:hAnsi="Cambria"/>
              </w:rPr>
              <w:t>54.4</w:t>
            </w:r>
          </w:p>
        </w:tc>
      </w:tr>
      <w:tr w:rsidR="0025692B">
        <w:tc>
          <w:tcPr>
            <w:tcW w:w="2214" w:type="dxa"/>
          </w:tcPr>
          <w:p w:rsidR="0025692B" w:rsidRDefault="0025692B" w:rsidP="00E37E75">
            <w:pPr>
              <w:rPr>
                <w:rFonts w:ascii="Cambria" w:hAnsi="Cambria"/>
              </w:rPr>
            </w:pPr>
            <w:r>
              <w:rPr>
                <w:rFonts w:ascii="Cambria" w:hAnsi="Cambria"/>
              </w:rPr>
              <w:t>3</w:t>
            </w:r>
          </w:p>
        </w:tc>
        <w:tc>
          <w:tcPr>
            <w:tcW w:w="2214" w:type="dxa"/>
          </w:tcPr>
          <w:p w:rsidR="0025692B" w:rsidRDefault="0025692B" w:rsidP="00E37E75">
            <w:pPr>
              <w:rPr>
                <w:rFonts w:ascii="Cambria" w:hAnsi="Cambria"/>
              </w:rPr>
            </w:pPr>
            <w:r>
              <w:rPr>
                <w:rFonts w:ascii="Cambria" w:hAnsi="Cambria"/>
              </w:rPr>
              <w:t>1B</w:t>
            </w:r>
          </w:p>
        </w:tc>
        <w:tc>
          <w:tcPr>
            <w:tcW w:w="2214" w:type="dxa"/>
          </w:tcPr>
          <w:p w:rsidR="0025692B" w:rsidRDefault="0025692B" w:rsidP="00E37E75">
            <w:pPr>
              <w:rPr>
                <w:rFonts w:ascii="Cambria" w:hAnsi="Cambria"/>
              </w:rPr>
            </w:pPr>
            <w:r>
              <w:rPr>
                <w:rFonts w:ascii="Cambria" w:hAnsi="Cambria"/>
              </w:rPr>
              <w:t>FaQR1/FaQR3</w:t>
            </w:r>
          </w:p>
        </w:tc>
        <w:tc>
          <w:tcPr>
            <w:tcW w:w="2214" w:type="dxa"/>
          </w:tcPr>
          <w:p w:rsidR="0025692B" w:rsidRDefault="0025692B" w:rsidP="00E37E75">
            <w:pPr>
              <w:rPr>
                <w:rFonts w:ascii="Cambria" w:hAnsi="Cambria"/>
              </w:rPr>
            </w:pPr>
            <w:r>
              <w:rPr>
                <w:rFonts w:ascii="Cambria" w:hAnsi="Cambria"/>
              </w:rPr>
              <w:t>59.6</w:t>
            </w:r>
          </w:p>
        </w:tc>
      </w:tr>
      <w:tr w:rsidR="0025692B">
        <w:tc>
          <w:tcPr>
            <w:tcW w:w="2214" w:type="dxa"/>
          </w:tcPr>
          <w:p w:rsidR="0025692B" w:rsidRDefault="0025692B" w:rsidP="00E37E75">
            <w:pPr>
              <w:rPr>
                <w:rFonts w:ascii="Cambria" w:hAnsi="Cambria"/>
              </w:rPr>
            </w:pPr>
            <w:r>
              <w:rPr>
                <w:rFonts w:ascii="Cambria" w:hAnsi="Cambria"/>
              </w:rPr>
              <w:t>4</w:t>
            </w:r>
          </w:p>
        </w:tc>
        <w:tc>
          <w:tcPr>
            <w:tcW w:w="2214" w:type="dxa"/>
          </w:tcPr>
          <w:p w:rsidR="0025692B" w:rsidRDefault="0025692B" w:rsidP="00E37E75">
            <w:pPr>
              <w:rPr>
                <w:rFonts w:ascii="Cambria" w:hAnsi="Cambria"/>
              </w:rPr>
            </w:pPr>
            <w:r>
              <w:rPr>
                <w:rFonts w:ascii="Cambria" w:hAnsi="Cambria"/>
              </w:rPr>
              <w:t>4</w:t>
            </w:r>
          </w:p>
        </w:tc>
        <w:tc>
          <w:tcPr>
            <w:tcW w:w="2214" w:type="dxa"/>
          </w:tcPr>
          <w:p w:rsidR="0025692B" w:rsidRDefault="0025692B" w:rsidP="00E37E75">
            <w:pPr>
              <w:rPr>
                <w:rFonts w:ascii="Cambria" w:hAnsi="Cambria"/>
              </w:rPr>
            </w:pPr>
            <w:r>
              <w:rPr>
                <w:rFonts w:ascii="Cambria" w:hAnsi="Cambria"/>
              </w:rPr>
              <w:t>FaQR1/FaQR3</w:t>
            </w:r>
          </w:p>
        </w:tc>
        <w:tc>
          <w:tcPr>
            <w:tcW w:w="2214" w:type="dxa"/>
          </w:tcPr>
          <w:p w:rsidR="0025692B" w:rsidRDefault="0025692B" w:rsidP="00E37E75">
            <w:pPr>
              <w:rPr>
                <w:rFonts w:ascii="Cambria" w:hAnsi="Cambria"/>
              </w:rPr>
            </w:pPr>
            <w:r>
              <w:rPr>
                <w:rFonts w:ascii="Cambria" w:hAnsi="Cambria"/>
              </w:rPr>
              <w:t>50.0</w:t>
            </w:r>
          </w:p>
        </w:tc>
      </w:tr>
      <w:tr w:rsidR="0025692B">
        <w:tc>
          <w:tcPr>
            <w:tcW w:w="2214" w:type="dxa"/>
          </w:tcPr>
          <w:p w:rsidR="0025692B" w:rsidRDefault="0025692B" w:rsidP="00E37E75">
            <w:pPr>
              <w:rPr>
                <w:rFonts w:ascii="Cambria" w:hAnsi="Cambria"/>
              </w:rPr>
            </w:pPr>
            <w:r>
              <w:rPr>
                <w:rFonts w:ascii="Cambria" w:hAnsi="Cambria"/>
              </w:rPr>
              <w:t>5</w:t>
            </w:r>
          </w:p>
        </w:tc>
        <w:tc>
          <w:tcPr>
            <w:tcW w:w="2214" w:type="dxa"/>
          </w:tcPr>
          <w:p w:rsidR="0025692B" w:rsidRDefault="0025692B" w:rsidP="00E37E75">
            <w:pPr>
              <w:rPr>
                <w:rFonts w:ascii="Cambria" w:hAnsi="Cambria"/>
              </w:rPr>
            </w:pPr>
            <w:r>
              <w:rPr>
                <w:rFonts w:ascii="Cambria" w:hAnsi="Cambria"/>
              </w:rPr>
              <w:t>4</w:t>
            </w:r>
          </w:p>
        </w:tc>
        <w:tc>
          <w:tcPr>
            <w:tcW w:w="2214" w:type="dxa"/>
          </w:tcPr>
          <w:p w:rsidR="0025692B" w:rsidRDefault="0025692B" w:rsidP="00E37E75">
            <w:pPr>
              <w:rPr>
                <w:rFonts w:ascii="Cambria" w:hAnsi="Cambria"/>
              </w:rPr>
            </w:pPr>
            <w:r>
              <w:rPr>
                <w:rFonts w:ascii="Cambria" w:hAnsi="Cambria"/>
              </w:rPr>
              <w:t>FaQR1/FaQR3</w:t>
            </w:r>
          </w:p>
        </w:tc>
        <w:tc>
          <w:tcPr>
            <w:tcW w:w="2214" w:type="dxa"/>
          </w:tcPr>
          <w:p w:rsidR="0025692B" w:rsidRDefault="0025692B" w:rsidP="00E37E75">
            <w:pPr>
              <w:rPr>
                <w:rFonts w:ascii="Cambria" w:hAnsi="Cambria"/>
              </w:rPr>
            </w:pPr>
            <w:r>
              <w:rPr>
                <w:rFonts w:ascii="Cambria" w:hAnsi="Cambria"/>
              </w:rPr>
              <w:t>54.4</w:t>
            </w:r>
          </w:p>
        </w:tc>
      </w:tr>
      <w:tr w:rsidR="0025692B">
        <w:tc>
          <w:tcPr>
            <w:tcW w:w="2214" w:type="dxa"/>
          </w:tcPr>
          <w:p w:rsidR="0025692B" w:rsidRDefault="0025692B" w:rsidP="00E37E75">
            <w:pPr>
              <w:rPr>
                <w:rFonts w:ascii="Cambria" w:hAnsi="Cambria"/>
              </w:rPr>
            </w:pPr>
            <w:r>
              <w:rPr>
                <w:rFonts w:ascii="Cambria" w:hAnsi="Cambria"/>
              </w:rPr>
              <w:t>6</w:t>
            </w:r>
          </w:p>
        </w:tc>
        <w:tc>
          <w:tcPr>
            <w:tcW w:w="2214" w:type="dxa"/>
          </w:tcPr>
          <w:p w:rsidR="0025692B" w:rsidRDefault="0025692B" w:rsidP="00E37E75">
            <w:pPr>
              <w:rPr>
                <w:rFonts w:ascii="Cambria" w:hAnsi="Cambria"/>
              </w:rPr>
            </w:pPr>
            <w:r>
              <w:rPr>
                <w:rFonts w:ascii="Cambria" w:hAnsi="Cambria"/>
              </w:rPr>
              <w:t>4</w:t>
            </w:r>
          </w:p>
        </w:tc>
        <w:tc>
          <w:tcPr>
            <w:tcW w:w="2214" w:type="dxa"/>
          </w:tcPr>
          <w:p w:rsidR="0025692B" w:rsidRDefault="0025692B" w:rsidP="00E37E75">
            <w:pPr>
              <w:rPr>
                <w:rFonts w:ascii="Cambria" w:hAnsi="Cambria"/>
              </w:rPr>
            </w:pPr>
            <w:r>
              <w:rPr>
                <w:rFonts w:ascii="Cambria" w:hAnsi="Cambria"/>
              </w:rPr>
              <w:t>FaQR1/FaQR3</w:t>
            </w:r>
          </w:p>
        </w:tc>
        <w:tc>
          <w:tcPr>
            <w:tcW w:w="2214" w:type="dxa"/>
          </w:tcPr>
          <w:p w:rsidR="0025692B" w:rsidRDefault="00E37E75" w:rsidP="00E37E75">
            <w:pPr>
              <w:rPr>
                <w:rFonts w:ascii="Cambria" w:hAnsi="Cambria"/>
              </w:rPr>
            </w:pPr>
            <w:r>
              <w:rPr>
                <w:rFonts w:ascii="Cambria" w:hAnsi="Cambria"/>
              </w:rPr>
              <w:t>59.6</w:t>
            </w:r>
          </w:p>
        </w:tc>
      </w:tr>
      <w:tr w:rsidR="0025692B">
        <w:tc>
          <w:tcPr>
            <w:tcW w:w="2214" w:type="dxa"/>
          </w:tcPr>
          <w:p w:rsidR="0025692B" w:rsidRDefault="00E37E75" w:rsidP="00E37E75">
            <w:pPr>
              <w:rPr>
                <w:rFonts w:ascii="Cambria" w:hAnsi="Cambria"/>
              </w:rPr>
            </w:pPr>
            <w:r>
              <w:rPr>
                <w:rFonts w:ascii="Cambria" w:hAnsi="Cambria"/>
              </w:rPr>
              <w:t>7 – pos. control</w:t>
            </w:r>
          </w:p>
        </w:tc>
        <w:tc>
          <w:tcPr>
            <w:tcW w:w="2214" w:type="dxa"/>
          </w:tcPr>
          <w:p w:rsidR="0025692B" w:rsidRDefault="00E37E75" w:rsidP="00E37E75">
            <w:pPr>
              <w:rPr>
                <w:rFonts w:ascii="Cambria" w:hAnsi="Cambria"/>
              </w:rPr>
            </w:pPr>
            <w:proofErr w:type="spellStart"/>
            <w:r>
              <w:rPr>
                <w:rFonts w:ascii="Cambria" w:hAnsi="Cambria"/>
              </w:rPr>
              <w:t>Bluescript</w:t>
            </w:r>
            <w:proofErr w:type="spellEnd"/>
            <w:r>
              <w:rPr>
                <w:rFonts w:ascii="Cambria" w:hAnsi="Cambria"/>
              </w:rPr>
              <w:t xml:space="preserve"> plasmid</w:t>
            </w:r>
          </w:p>
        </w:tc>
        <w:tc>
          <w:tcPr>
            <w:tcW w:w="2214" w:type="dxa"/>
          </w:tcPr>
          <w:p w:rsidR="0025692B" w:rsidRDefault="00E37E75" w:rsidP="00E37E75">
            <w:pPr>
              <w:rPr>
                <w:rFonts w:ascii="Cambria" w:hAnsi="Cambria"/>
              </w:rPr>
            </w:pPr>
            <w:r>
              <w:rPr>
                <w:rFonts w:ascii="Cambria" w:hAnsi="Cambria"/>
              </w:rPr>
              <w:t>Fwd M13/Rvs M13</w:t>
            </w:r>
          </w:p>
        </w:tc>
        <w:tc>
          <w:tcPr>
            <w:tcW w:w="2214" w:type="dxa"/>
          </w:tcPr>
          <w:p w:rsidR="0025692B" w:rsidRDefault="00E37E75" w:rsidP="00E37E75">
            <w:pPr>
              <w:rPr>
                <w:rFonts w:ascii="Cambria" w:hAnsi="Cambria"/>
              </w:rPr>
            </w:pPr>
            <w:r>
              <w:rPr>
                <w:rFonts w:ascii="Cambria" w:hAnsi="Cambria"/>
              </w:rPr>
              <w:t>50.0</w:t>
            </w:r>
          </w:p>
        </w:tc>
      </w:tr>
      <w:tr w:rsidR="0025692B">
        <w:tc>
          <w:tcPr>
            <w:tcW w:w="2214" w:type="dxa"/>
          </w:tcPr>
          <w:p w:rsidR="0025692B" w:rsidRDefault="00E37E75" w:rsidP="00E37E75">
            <w:pPr>
              <w:rPr>
                <w:rFonts w:ascii="Cambria" w:hAnsi="Cambria"/>
              </w:rPr>
            </w:pPr>
            <w:r>
              <w:rPr>
                <w:rFonts w:ascii="Cambria" w:hAnsi="Cambria"/>
              </w:rPr>
              <w:t>8 – neg. control</w:t>
            </w:r>
          </w:p>
        </w:tc>
        <w:tc>
          <w:tcPr>
            <w:tcW w:w="2214" w:type="dxa"/>
          </w:tcPr>
          <w:p w:rsidR="0025692B" w:rsidRDefault="00E37E75" w:rsidP="00E37E75">
            <w:pPr>
              <w:rPr>
                <w:rFonts w:ascii="Cambria" w:hAnsi="Cambria"/>
              </w:rPr>
            </w:pPr>
            <w:r>
              <w:rPr>
                <w:rFonts w:ascii="Cambria" w:hAnsi="Cambria"/>
              </w:rPr>
              <w:t>n/a</w:t>
            </w:r>
          </w:p>
        </w:tc>
        <w:tc>
          <w:tcPr>
            <w:tcW w:w="2214" w:type="dxa"/>
          </w:tcPr>
          <w:p w:rsidR="0025692B" w:rsidRDefault="00E37E75" w:rsidP="00E37E75">
            <w:pPr>
              <w:rPr>
                <w:rFonts w:ascii="Cambria" w:hAnsi="Cambria"/>
              </w:rPr>
            </w:pPr>
            <w:r>
              <w:rPr>
                <w:rFonts w:ascii="Cambria" w:hAnsi="Cambria"/>
              </w:rPr>
              <w:t>FaQR1/FaQR3</w:t>
            </w:r>
          </w:p>
        </w:tc>
        <w:tc>
          <w:tcPr>
            <w:tcW w:w="2214" w:type="dxa"/>
          </w:tcPr>
          <w:p w:rsidR="0025692B" w:rsidRDefault="00E37E75" w:rsidP="00E37E75">
            <w:pPr>
              <w:rPr>
                <w:rFonts w:ascii="Cambria" w:hAnsi="Cambria"/>
              </w:rPr>
            </w:pPr>
            <w:r>
              <w:rPr>
                <w:rFonts w:ascii="Cambria" w:hAnsi="Cambria"/>
              </w:rPr>
              <w:t>50.0</w:t>
            </w:r>
          </w:p>
        </w:tc>
      </w:tr>
      <w:tr w:rsidR="0025692B">
        <w:tc>
          <w:tcPr>
            <w:tcW w:w="2214" w:type="dxa"/>
          </w:tcPr>
          <w:p w:rsidR="0025692B" w:rsidRDefault="00E37E75" w:rsidP="00E37E75">
            <w:pPr>
              <w:rPr>
                <w:rFonts w:ascii="Cambria" w:hAnsi="Cambria"/>
              </w:rPr>
            </w:pPr>
            <w:r>
              <w:rPr>
                <w:rFonts w:ascii="Cambria" w:hAnsi="Cambria"/>
              </w:rPr>
              <w:t>9</w:t>
            </w:r>
          </w:p>
        </w:tc>
        <w:tc>
          <w:tcPr>
            <w:tcW w:w="2214" w:type="dxa"/>
          </w:tcPr>
          <w:p w:rsidR="0025692B" w:rsidRDefault="00E37E75" w:rsidP="00E37E75">
            <w:pPr>
              <w:rPr>
                <w:rFonts w:ascii="Cambria" w:hAnsi="Cambria"/>
              </w:rPr>
            </w:pPr>
            <w:r>
              <w:rPr>
                <w:rFonts w:ascii="Cambria" w:hAnsi="Cambria"/>
              </w:rPr>
              <w:t>1B</w:t>
            </w:r>
          </w:p>
        </w:tc>
        <w:tc>
          <w:tcPr>
            <w:tcW w:w="2214" w:type="dxa"/>
          </w:tcPr>
          <w:p w:rsidR="0025692B" w:rsidRDefault="00E37E75" w:rsidP="00E37E75">
            <w:pPr>
              <w:rPr>
                <w:rFonts w:ascii="Cambria" w:hAnsi="Cambria"/>
              </w:rPr>
            </w:pPr>
            <w:r>
              <w:rPr>
                <w:rFonts w:ascii="Cambria" w:hAnsi="Cambria"/>
              </w:rPr>
              <w:t>FaQR2/FaQR3</w:t>
            </w:r>
          </w:p>
        </w:tc>
        <w:tc>
          <w:tcPr>
            <w:tcW w:w="2214" w:type="dxa"/>
          </w:tcPr>
          <w:p w:rsidR="0025692B" w:rsidRDefault="00E37E75" w:rsidP="00E37E75">
            <w:pPr>
              <w:rPr>
                <w:rFonts w:ascii="Cambria" w:hAnsi="Cambria"/>
              </w:rPr>
            </w:pPr>
            <w:r>
              <w:rPr>
                <w:rFonts w:ascii="Cambria" w:hAnsi="Cambria"/>
              </w:rPr>
              <w:t>50.0</w:t>
            </w:r>
          </w:p>
        </w:tc>
      </w:tr>
      <w:tr w:rsidR="0025692B">
        <w:tc>
          <w:tcPr>
            <w:tcW w:w="2214" w:type="dxa"/>
          </w:tcPr>
          <w:p w:rsidR="0025692B" w:rsidRDefault="00E37E75" w:rsidP="00E37E75">
            <w:pPr>
              <w:rPr>
                <w:rFonts w:ascii="Cambria" w:hAnsi="Cambria"/>
              </w:rPr>
            </w:pPr>
            <w:r>
              <w:rPr>
                <w:rFonts w:ascii="Cambria" w:hAnsi="Cambria"/>
              </w:rPr>
              <w:t>10</w:t>
            </w:r>
          </w:p>
        </w:tc>
        <w:tc>
          <w:tcPr>
            <w:tcW w:w="2214" w:type="dxa"/>
          </w:tcPr>
          <w:p w:rsidR="0025692B" w:rsidRDefault="00E37E75" w:rsidP="00E37E75">
            <w:pPr>
              <w:rPr>
                <w:rFonts w:ascii="Cambria" w:hAnsi="Cambria"/>
              </w:rPr>
            </w:pPr>
            <w:r>
              <w:rPr>
                <w:rFonts w:ascii="Cambria" w:hAnsi="Cambria"/>
              </w:rPr>
              <w:t>1B</w:t>
            </w:r>
          </w:p>
        </w:tc>
        <w:tc>
          <w:tcPr>
            <w:tcW w:w="2214" w:type="dxa"/>
          </w:tcPr>
          <w:p w:rsidR="0025692B" w:rsidRDefault="00E37E75" w:rsidP="00E37E75">
            <w:pPr>
              <w:rPr>
                <w:rFonts w:ascii="Cambria" w:hAnsi="Cambria"/>
              </w:rPr>
            </w:pPr>
            <w:r>
              <w:rPr>
                <w:rFonts w:ascii="Cambria" w:hAnsi="Cambria"/>
              </w:rPr>
              <w:t>FaQR2/FaQR3</w:t>
            </w:r>
          </w:p>
        </w:tc>
        <w:tc>
          <w:tcPr>
            <w:tcW w:w="2214" w:type="dxa"/>
          </w:tcPr>
          <w:p w:rsidR="0025692B" w:rsidRDefault="00E37E75" w:rsidP="00E37E75">
            <w:pPr>
              <w:rPr>
                <w:rFonts w:ascii="Cambria" w:hAnsi="Cambria"/>
              </w:rPr>
            </w:pPr>
            <w:r>
              <w:rPr>
                <w:rFonts w:ascii="Cambria" w:hAnsi="Cambria"/>
              </w:rPr>
              <w:t>54.4</w:t>
            </w:r>
          </w:p>
        </w:tc>
      </w:tr>
      <w:tr w:rsidR="0025692B">
        <w:tc>
          <w:tcPr>
            <w:tcW w:w="2214" w:type="dxa"/>
          </w:tcPr>
          <w:p w:rsidR="0025692B" w:rsidRDefault="00E37E75" w:rsidP="00E37E75">
            <w:pPr>
              <w:rPr>
                <w:rFonts w:ascii="Cambria" w:hAnsi="Cambria"/>
              </w:rPr>
            </w:pPr>
            <w:r>
              <w:rPr>
                <w:rFonts w:ascii="Cambria" w:hAnsi="Cambria"/>
              </w:rPr>
              <w:t>11</w:t>
            </w:r>
          </w:p>
        </w:tc>
        <w:tc>
          <w:tcPr>
            <w:tcW w:w="2214" w:type="dxa"/>
          </w:tcPr>
          <w:p w:rsidR="0025692B" w:rsidRDefault="00E37E75" w:rsidP="00E37E75">
            <w:pPr>
              <w:rPr>
                <w:rFonts w:ascii="Cambria" w:hAnsi="Cambria"/>
              </w:rPr>
            </w:pPr>
            <w:r>
              <w:rPr>
                <w:rFonts w:ascii="Cambria" w:hAnsi="Cambria"/>
              </w:rPr>
              <w:t>1B</w:t>
            </w:r>
          </w:p>
        </w:tc>
        <w:tc>
          <w:tcPr>
            <w:tcW w:w="2214" w:type="dxa"/>
          </w:tcPr>
          <w:p w:rsidR="0025692B" w:rsidRDefault="00E37E75" w:rsidP="00E37E75">
            <w:pPr>
              <w:rPr>
                <w:rFonts w:ascii="Cambria" w:hAnsi="Cambria"/>
              </w:rPr>
            </w:pPr>
            <w:r>
              <w:rPr>
                <w:rFonts w:ascii="Cambria" w:hAnsi="Cambria"/>
              </w:rPr>
              <w:t>FaQR2/FaQR3</w:t>
            </w:r>
          </w:p>
        </w:tc>
        <w:tc>
          <w:tcPr>
            <w:tcW w:w="2214" w:type="dxa"/>
          </w:tcPr>
          <w:p w:rsidR="0025692B" w:rsidRDefault="00E37E75" w:rsidP="00E37E75">
            <w:pPr>
              <w:rPr>
                <w:rFonts w:ascii="Cambria" w:hAnsi="Cambria"/>
              </w:rPr>
            </w:pPr>
            <w:r>
              <w:rPr>
                <w:rFonts w:ascii="Cambria" w:hAnsi="Cambria"/>
              </w:rPr>
              <w:t>59.6</w:t>
            </w:r>
          </w:p>
        </w:tc>
      </w:tr>
      <w:tr w:rsidR="0025692B">
        <w:tc>
          <w:tcPr>
            <w:tcW w:w="2214" w:type="dxa"/>
          </w:tcPr>
          <w:p w:rsidR="0025692B" w:rsidRDefault="00E37E75" w:rsidP="00E37E75">
            <w:pPr>
              <w:rPr>
                <w:rFonts w:ascii="Cambria" w:hAnsi="Cambria"/>
              </w:rPr>
            </w:pPr>
            <w:r>
              <w:rPr>
                <w:rFonts w:ascii="Cambria" w:hAnsi="Cambria"/>
              </w:rPr>
              <w:t>12</w:t>
            </w:r>
          </w:p>
        </w:tc>
        <w:tc>
          <w:tcPr>
            <w:tcW w:w="2214" w:type="dxa"/>
          </w:tcPr>
          <w:p w:rsidR="0025692B" w:rsidRDefault="00E37E75" w:rsidP="00E37E75">
            <w:pPr>
              <w:rPr>
                <w:rFonts w:ascii="Cambria" w:hAnsi="Cambria"/>
              </w:rPr>
            </w:pPr>
            <w:r>
              <w:rPr>
                <w:rFonts w:ascii="Cambria" w:hAnsi="Cambria"/>
              </w:rPr>
              <w:t>4</w:t>
            </w:r>
          </w:p>
        </w:tc>
        <w:tc>
          <w:tcPr>
            <w:tcW w:w="2214" w:type="dxa"/>
          </w:tcPr>
          <w:p w:rsidR="0025692B" w:rsidRDefault="00E37E75" w:rsidP="00E37E75">
            <w:pPr>
              <w:rPr>
                <w:rFonts w:ascii="Cambria" w:hAnsi="Cambria"/>
              </w:rPr>
            </w:pPr>
            <w:r>
              <w:rPr>
                <w:rFonts w:ascii="Cambria" w:hAnsi="Cambria"/>
              </w:rPr>
              <w:t>FaQR2/FaQR3</w:t>
            </w:r>
          </w:p>
        </w:tc>
        <w:tc>
          <w:tcPr>
            <w:tcW w:w="2214" w:type="dxa"/>
          </w:tcPr>
          <w:p w:rsidR="0025692B" w:rsidRDefault="00E37E75" w:rsidP="00E37E75">
            <w:pPr>
              <w:rPr>
                <w:rFonts w:ascii="Cambria" w:hAnsi="Cambria"/>
              </w:rPr>
            </w:pPr>
            <w:r>
              <w:rPr>
                <w:rFonts w:ascii="Cambria" w:hAnsi="Cambria"/>
              </w:rPr>
              <w:t>50.0</w:t>
            </w:r>
          </w:p>
        </w:tc>
      </w:tr>
      <w:tr w:rsidR="0025692B">
        <w:tc>
          <w:tcPr>
            <w:tcW w:w="2214" w:type="dxa"/>
          </w:tcPr>
          <w:p w:rsidR="0025692B" w:rsidRDefault="00E37E75" w:rsidP="00E37E75">
            <w:pPr>
              <w:rPr>
                <w:rFonts w:ascii="Cambria" w:hAnsi="Cambria"/>
              </w:rPr>
            </w:pPr>
            <w:r>
              <w:rPr>
                <w:rFonts w:ascii="Cambria" w:hAnsi="Cambria"/>
              </w:rPr>
              <w:t>13</w:t>
            </w:r>
          </w:p>
        </w:tc>
        <w:tc>
          <w:tcPr>
            <w:tcW w:w="2214" w:type="dxa"/>
          </w:tcPr>
          <w:p w:rsidR="0025692B" w:rsidRDefault="00E37E75" w:rsidP="00E37E75">
            <w:pPr>
              <w:rPr>
                <w:rFonts w:ascii="Cambria" w:hAnsi="Cambria"/>
              </w:rPr>
            </w:pPr>
            <w:r>
              <w:rPr>
                <w:rFonts w:ascii="Cambria" w:hAnsi="Cambria"/>
              </w:rPr>
              <w:t>4</w:t>
            </w:r>
          </w:p>
        </w:tc>
        <w:tc>
          <w:tcPr>
            <w:tcW w:w="2214" w:type="dxa"/>
          </w:tcPr>
          <w:p w:rsidR="0025692B" w:rsidRDefault="00E37E75" w:rsidP="00E37E75">
            <w:pPr>
              <w:rPr>
                <w:rFonts w:ascii="Cambria" w:hAnsi="Cambria"/>
              </w:rPr>
            </w:pPr>
            <w:r>
              <w:rPr>
                <w:rFonts w:ascii="Cambria" w:hAnsi="Cambria"/>
              </w:rPr>
              <w:t>FaQR2/FaQR3</w:t>
            </w:r>
          </w:p>
        </w:tc>
        <w:tc>
          <w:tcPr>
            <w:tcW w:w="2214" w:type="dxa"/>
          </w:tcPr>
          <w:p w:rsidR="0025692B" w:rsidRDefault="00E37E75" w:rsidP="00E37E75">
            <w:pPr>
              <w:rPr>
                <w:rFonts w:ascii="Cambria" w:hAnsi="Cambria"/>
              </w:rPr>
            </w:pPr>
            <w:r>
              <w:rPr>
                <w:rFonts w:ascii="Cambria" w:hAnsi="Cambria"/>
              </w:rPr>
              <w:t>54.4</w:t>
            </w:r>
          </w:p>
        </w:tc>
      </w:tr>
      <w:tr w:rsidR="0025692B">
        <w:tc>
          <w:tcPr>
            <w:tcW w:w="2214" w:type="dxa"/>
          </w:tcPr>
          <w:p w:rsidR="0025692B" w:rsidRDefault="00E37E75" w:rsidP="00E37E75">
            <w:pPr>
              <w:rPr>
                <w:rFonts w:ascii="Cambria" w:hAnsi="Cambria"/>
              </w:rPr>
            </w:pPr>
            <w:r>
              <w:rPr>
                <w:rFonts w:ascii="Cambria" w:hAnsi="Cambria"/>
              </w:rPr>
              <w:t>14</w:t>
            </w:r>
          </w:p>
        </w:tc>
        <w:tc>
          <w:tcPr>
            <w:tcW w:w="2214" w:type="dxa"/>
          </w:tcPr>
          <w:p w:rsidR="0025692B" w:rsidRDefault="00E37E75" w:rsidP="00E37E75">
            <w:pPr>
              <w:rPr>
                <w:rFonts w:ascii="Cambria" w:hAnsi="Cambria"/>
              </w:rPr>
            </w:pPr>
            <w:r>
              <w:rPr>
                <w:rFonts w:ascii="Cambria" w:hAnsi="Cambria"/>
              </w:rPr>
              <w:t>4</w:t>
            </w:r>
          </w:p>
        </w:tc>
        <w:tc>
          <w:tcPr>
            <w:tcW w:w="2214" w:type="dxa"/>
          </w:tcPr>
          <w:p w:rsidR="0025692B" w:rsidRDefault="00E37E75" w:rsidP="00E37E75">
            <w:pPr>
              <w:rPr>
                <w:rFonts w:ascii="Cambria" w:hAnsi="Cambria"/>
              </w:rPr>
            </w:pPr>
            <w:r>
              <w:rPr>
                <w:rFonts w:ascii="Cambria" w:hAnsi="Cambria"/>
              </w:rPr>
              <w:t>FaQR2/FaQR3</w:t>
            </w:r>
          </w:p>
        </w:tc>
        <w:tc>
          <w:tcPr>
            <w:tcW w:w="2214" w:type="dxa"/>
          </w:tcPr>
          <w:p w:rsidR="0025692B" w:rsidRDefault="00E37E75" w:rsidP="00E37E75">
            <w:pPr>
              <w:rPr>
                <w:rFonts w:ascii="Cambria" w:hAnsi="Cambria"/>
              </w:rPr>
            </w:pPr>
            <w:r>
              <w:rPr>
                <w:rFonts w:ascii="Cambria" w:hAnsi="Cambria"/>
              </w:rPr>
              <w:t>59.6</w:t>
            </w:r>
          </w:p>
        </w:tc>
      </w:tr>
      <w:tr w:rsidR="0025692B">
        <w:tc>
          <w:tcPr>
            <w:tcW w:w="2214" w:type="dxa"/>
          </w:tcPr>
          <w:p w:rsidR="0025692B" w:rsidRDefault="00E37E75" w:rsidP="00E37E75">
            <w:pPr>
              <w:rPr>
                <w:rFonts w:ascii="Cambria" w:hAnsi="Cambria"/>
              </w:rPr>
            </w:pPr>
            <w:r>
              <w:rPr>
                <w:rFonts w:ascii="Cambria" w:hAnsi="Cambria"/>
              </w:rPr>
              <w:t xml:space="preserve">15 – </w:t>
            </w:r>
            <w:proofErr w:type="spellStart"/>
            <w:r>
              <w:rPr>
                <w:rFonts w:ascii="Cambria" w:hAnsi="Cambria"/>
              </w:rPr>
              <w:t>neg.control</w:t>
            </w:r>
            <w:proofErr w:type="spellEnd"/>
          </w:p>
        </w:tc>
        <w:tc>
          <w:tcPr>
            <w:tcW w:w="2214" w:type="dxa"/>
          </w:tcPr>
          <w:p w:rsidR="0025692B" w:rsidRDefault="00E37E75" w:rsidP="00E37E75">
            <w:pPr>
              <w:rPr>
                <w:rFonts w:ascii="Cambria" w:hAnsi="Cambria"/>
              </w:rPr>
            </w:pPr>
            <w:r>
              <w:rPr>
                <w:rFonts w:ascii="Cambria" w:hAnsi="Cambria"/>
              </w:rPr>
              <w:t>n/a</w:t>
            </w:r>
          </w:p>
        </w:tc>
        <w:tc>
          <w:tcPr>
            <w:tcW w:w="2214" w:type="dxa"/>
          </w:tcPr>
          <w:p w:rsidR="0025692B" w:rsidRDefault="00E37E75" w:rsidP="00E37E75">
            <w:pPr>
              <w:rPr>
                <w:rFonts w:ascii="Cambria" w:hAnsi="Cambria"/>
              </w:rPr>
            </w:pPr>
            <w:r>
              <w:rPr>
                <w:rFonts w:ascii="Cambria" w:hAnsi="Cambria"/>
              </w:rPr>
              <w:t>FaQR2/FaQR3</w:t>
            </w:r>
          </w:p>
        </w:tc>
        <w:tc>
          <w:tcPr>
            <w:tcW w:w="2214" w:type="dxa"/>
          </w:tcPr>
          <w:p w:rsidR="0025692B" w:rsidRDefault="00E37E75" w:rsidP="00E37E75">
            <w:pPr>
              <w:rPr>
                <w:rFonts w:ascii="Cambria" w:hAnsi="Cambria"/>
              </w:rPr>
            </w:pPr>
            <w:r>
              <w:rPr>
                <w:rFonts w:ascii="Cambria" w:hAnsi="Cambria"/>
              </w:rPr>
              <w:t>50.0</w:t>
            </w:r>
          </w:p>
        </w:tc>
      </w:tr>
    </w:tbl>
    <w:p w:rsidR="000048CE" w:rsidRDefault="000048CE" w:rsidP="0025692B">
      <w:pPr>
        <w:spacing w:line="480" w:lineRule="auto"/>
        <w:rPr>
          <w:rFonts w:ascii="Cambria" w:hAnsi="Cambria"/>
        </w:rPr>
      </w:pPr>
    </w:p>
    <w:p w:rsidR="000048CE" w:rsidRDefault="000048CE" w:rsidP="000048CE">
      <w:pPr>
        <w:spacing w:line="480" w:lineRule="auto"/>
        <w:ind w:firstLine="720"/>
        <w:rPr>
          <w:rFonts w:ascii="Cambria" w:hAnsi="Cambria"/>
        </w:rPr>
      </w:pPr>
    </w:p>
    <w:p w:rsidR="000048CE" w:rsidRDefault="0025692B" w:rsidP="000048CE">
      <w:pPr>
        <w:spacing w:line="480" w:lineRule="auto"/>
        <w:jc w:val="center"/>
        <w:rPr>
          <w:rFonts w:ascii="Cambria" w:hAnsi="Cambria"/>
        </w:rPr>
      </w:pPr>
      <w:r>
        <w:rPr>
          <w:rFonts w:ascii="Cambria" w:hAnsi="Cambria"/>
          <w:b/>
        </w:rPr>
        <w:t>Table 3</w:t>
      </w:r>
      <w:r w:rsidR="000048CE" w:rsidRPr="004F2679">
        <w:rPr>
          <w:rFonts w:ascii="Cambria" w:hAnsi="Cambria"/>
          <w:b/>
        </w:rPr>
        <w:t>.</w:t>
      </w:r>
      <w:r w:rsidR="000048CE">
        <w:rPr>
          <w:rFonts w:ascii="Cambria" w:hAnsi="Cambria"/>
        </w:rPr>
        <w:t xml:space="preserve"> </w:t>
      </w:r>
      <w:proofErr w:type="gramStart"/>
      <w:r w:rsidR="000048CE">
        <w:rPr>
          <w:rFonts w:ascii="Cambria" w:hAnsi="Cambria"/>
        </w:rPr>
        <w:t>Temperatures for Annealing Analysis (°C).</w:t>
      </w:r>
      <w:proofErr w:type="gramEnd"/>
    </w:p>
    <w:tbl>
      <w:tblPr>
        <w:tblStyle w:val="TableGrid"/>
        <w:tblW w:w="0" w:type="auto"/>
        <w:tblLook w:val="00BF"/>
      </w:tblPr>
      <w:tblGrid>
        <w:gridCol w:w="1690"/>
        <w:gridCol w:w="895"/>
        <w:gridCol w:w="895"/>
        <w:gridCol w:w="896"/>
        <w:gridCol w:w="896"/>
        <w:gridCol w:w="896"/>
        <w:gridCol w:w="896"/>
        <w:gridCol w:w="896"/>
        <w:gridCol w:w="896"/>
      </w:tblGrid>
      <w:tr w:rsidR="000048CE">
        <w:tc>
          <w:tcPr>
            <w:tcW w:w="984" w:type="dxa"/>
          </w:tcPr>
          <w:p w:rsidR="000048CE" w:rsidRPr="004F2679" w:rsidRDefault="000048CE" w:rsidP="00B06466">
            <w:pPr>
              <w:jc w:val="center"/>
              <w:rPr>
                <w:rFonts w:ascii="Cambria" w:hAnsi="Cambria"/>
                <w:b/>
              </w:rPr>
            </w:pPr>
            <w:r w:rsidRPr="004F2679">
              <w:rPr>
                <w:rFonts w:ascii="Cambria" w:hAnsi="Cambria"/>
                <w:b/>
              </w:rPr>
              <w:t>Column</w:t>
            </w:r>
          </w:p>
        </w:tc>
        <w:tc>
          <w:tcPr>
            <w:tcW w:w="984" w:type="dxa"/>
          </w:tcPr>
          <w:p w:rsidR="000048CE" w:rsidRDefault="000048CE" w:rsidP="00B06466">
            <w:pPr>
              <w:jc w:val="center"/>
              <w:rPr>
                <w:rFonts w:ascii="Cambria" w:hAnsi="Cambria"/>
              </w:rPr>
            </w:pPr>
            <w:r>
              <w:rPr>
                <w:rFonts w:ascii="Cambria" w:hAnsi="Cambria"/>
              </w:rPr>
              <w:t>H</w:t>
            </w:r>
          </w:p>
        </w:tc>
        <w:tc>
          <w:tcPr>
            <w:tcW w:w="984" w:type="dxa"/>
          </w:tcPr>
          <w:p w:rsidR="000048CE" w:rsidRDefault="000048CE" w:rsidP="00B06466">
            <w:pPr>
              <w:jc w:val="center"/>
              <w:rPr>
                <w:rFonts w:ascii="Cambria" w:hAnsi="Cambria"/>
              </w:rPr>
            </w:pPr>
            <w:r>
              <w:rPr>
                <w:rFonts w:ascii="Cambria" w:hAnsi="Cambria"/>
              </w:rPr>
              <w:t>G</w:t>
            </w:r>
          </w:p>
        </w:tc>
        <w:tc>
          <w:tcPr>
            <w:tcW w:w="984" w:type="dxa"/>
          </w:tcPr>
          <w:p w:rsidR="000048CE" w:rsidRDefault="000048CE" w:rsidP="00B06466">
            <w:pPr>
              <w:jc w:val="center"/>
              <w:rPr>
                <w:rFonts w:ascii="Cambria" w:hAnsi="Cambria"/>
              </w:rPr>
            </w:pPr>
            <w:r>
              <w:rPr>
                <w:rFonts w:ascii="Cambria" w:hAnsi="Cambria"/>
              </w:rPr>
              <w:t>F</w:t>
            </w:r>
          </w:p>
        </w:tc>
        <w:tc>
          <w:tcPr>
            <w:tcW w:w="984" w:type="dxa"/>
          </w:tcPr>
          <w:p w:rsidR="000048CE" w:rsidRDefault="000048CE" w:rsidP="00B06466">
            <w:pPr>
              <w:jc w:val="center"/>
              <w:rPr>
                <w:rFonts w:ascii="Cambria" w:hAnsi="Cambria"/>
              </w:rPr>
            </w:pPr>
            <w:r>
              <w:rPr>
                <w:rFonts w:ascii="Cambria" w:hAnsi="Cambria"/>
              </w:rPr>
              <w:t>E</w:t>
            </w:r>
          </w:p>
        </w:tc>
        <w:tc>
          <w:tcPr>
            <w:tcW w:w="984" w:type="dxa"/>
          </w:tcPr>
          <w:p w:rsidR="000048CE" w:rsidRDefault="000048CE" w:rsidP="00B06466">
            <w:pPr>
              <w:jc w:val="center"/>
              <w:rPr>
                <w:rFonts w:ascii="Cambria" w:hAnsi="Cambria"/>
              </w:rPr>
            </w:pPr>
            <w:r>
              <w:rPr>
                <w:rFonts w:ascii="Cambria" w:hAnsi="Cambria"/>
              </w:rPr>
              <w:t>D</w:t>
            </w:r>
          </w:p>
        </w:tc>
        <w:tc>
          <w:tcPr>
            <w:tcW w:w="984" w:type="dxa"/>
          </w:tcPr>
          <w:p w:rsidR="000048CE" w:rsidRDefault="000048CE" w:rsidP="00B06466">
            <w:pPr>
              <w:jc w:val="center"/>
              <w:rPr>
                <w:rFonts w:ascii="Cambria" w:hAnsi="Cambria"/>
              </w:rPr>
            </w:pPr>
            <w:r>
              <w:rPr>
                <w:rFonts w:ascii="Cambria" w:hAnsi="Cambria"/>
              </w:rPr>
              <w:t>C</w:t>
            </w:r>
          </w:p>
        </w:tc>
        <w:tc>
          <w:tcPr>
            <w:tcW w:w="984" w:type="dxa"/>
          </w:tcPr>
          <w:p w:rsidR="000048CE" w:rsidRDefault="000048CE" w:rsidP="00B06466">
            <w:pPr>
              <w:jc w:val="center"/>
              <w:rPr>
                <w:rFonts w:ascii="Cambria" w:hAnsi="Cambria"/>
              </w:rPr>
            </w:pPr>
            <w:r>
              <w:rPr>
                <w:rFonts w:ascii="Cambria" w:hAnsi="Cambria"/>
              </w:rPr>
              <w:t>B</w:t>
            </w:r>
          </w:p>
        </w:tc>
        <w:tc>
          <w:tcPr>
            <w:tcW w:w="984" w:type="dxa"/>
          </w:tcPr>
          <w:p w:rsidR="000048CE" w:rsidRDefault="000048CE" w:rsidP="00B06466">
            <w:pPr>
              <w:jc w:val="center"/>
              <w:rPr>
                <w:rFonts w:ascii="Cambria" w:hAnsi="Cambria"/>
              </w:rPr>
            </w:pPr>
            <w:r>
              <w:rPr>
                <w:rFonts w:ascii="Cambria" w:hAnsi="Cambria"/>
              </w:rPr>
              <w:t>A</w:t>
            </w:r>
          </w:p>
        </w:tc>
      </w:tr>
      <w:tr w:rsidR="000048CE">
        <w:tc>
          <w:tcPr>
            <w:tcW w:w="984" w:type="dxa"/>
          </w:tcPr>
          <w:p w:rsidR="000048CE" w:rsidRPr="004F2679" w:rsidRDefault="000048CE" w:rsidP="00B06466">
            <w:pPr>
              <w:jc w:val="center"/>
              <w:rPr>
                <w:rFonts w:ascii="Cambria" w:hAnsi="Cambria"/>
                <w:b/>
              </w:rPr>
            </w:pPr>
            <w:r>
              <w:rPr>
                <w:rFonts w:ascii="Cambria" w:hAnsi="Cambria"/>
                <w:b/>
              </w:rPr>
              <w:t>T</w:t>
            </w:r>
            <w:r w:rsidRPr="004F2679">
              <w:rPr>
                <w:rFonts w:ascii="Cambria" w:hAnsi="Cambria"/>
                <w:b/>
              </w:rPr>
              <w:t>emperature</w:t>
            </w:r>
          </w:p>
        </w:tc>
        <w:tc>
          <w:tcPr>
            <w:tcW w:w="984" w:type="dxa"/>
          </w:tcPr>
          <w:p w:rsidR="000048CE" w:rsidRDefault="000048CE" w:rsidP="00B06466">
            <w:pPr>
              <w:jc w:val="center"/>
              <w:rPr>
                <w:rFonts w:ascii="Cambria" w:hAnsi="Cambria"/>
              </w:rPr>
            </w:pPr>
            <w:r>
              <w:rPr>
                <w:rFonts w:ascii="Cambria" w:hAnsi="Cambria"/>
              </w:rPr>
              <w:t>50.0</w:t>
            </w:r>
          </w:p>
        </w:tc>
        <w:tc>
          <w:tcPr>
            <w:tcW w:w="984" w:type="dxa"/>
          </w:tcPr>
          <w:p w:rsidR="000048CE" w:rsidRDefault="000048CE" w:rsidP="00B06466">
            <w:pPr>
              <w:jc w:val="center"/>
              <w:rPr>
                <w:rFonts w:ascii="Cambria" w:hAnsi="Cambria"/>
              </w:rPr>
            </w:pPr>
            <w:r>
              <w:rPr>
                <w:rFonts w:ascii="Cambria" w:hAnsi="Cambria"/>
              </w:rPr>
              <w:t>50.8</w:t>
            </w:r>
          </w:p>
        </w:tc>
        <w:tc>
          <w:tcPr>
            <w:tcW w:w="984" w:type="dxa"/>
          </w:tcPr>
          <w:p w:rsidR="000048CE" w:rsidRDefault="000048CE" w:rsidP="00B06466">
            <w:pPr>
              <w:jc w:val="center"/>
              <w:rPr>
                <w:rFonts w:ascii="Cambria" w:hAnsi="Cambria"/>
              </w:rPr>
            </w:pPr>
            <w:r>
              <w:rPr>
                <w:rFonts w:ascii="Cambria" w:hAnsi="Cambria"/>
              </w:rPr>
              <w:t>52.3</w:t>
            </w:r>
          </w:p>
        </w:tc>
        <w:tc>
          <w:tcPr>
            <w:tcW w:w="984" w:type="dxa"/>
          </w:tcPr>
          <w:p w:rsidR="000048CE" w:rsidRDefault="000048CE" w:rsidP="00B06466">
            <w:pPr>
              <w:jc w:val="center"/>
              <w:rPr>
                <w:rFonts w:ascii="Cambria" w:hAnsi="Cambria"/>
              </w:rPr>
            </w:pPr>
            <w:r>
              <w:rPr>
                <w:rFonts w:ascii="Cambria" w:hAnsi="Cambria"/>
              </w:rPr>
              <w:t>54.4</w:t>
            </w:r>
          </w:p>
        </w:tc>
        <w:tc>
          <w:tcPr>
            <w:tcW w:w="984" w:type="dxa"/>
          </w:tcPr>
          <w:p w:rsidR="000048CE" w:rsidRDefault="000048CE" w:rsidP="00B06466">
            <w:pPr>
              <w:jc w:val="center"/>
              <w:rPr>
                <w:rFonts w:ascii="Cambria" w:hAnsi="Cambria"/>
              </w:rPr>
            </w:pPr>
            <w:r>
              <w:rPr>
                <w:rFonts w:ascii="Cambria" w:hAnsi="Cambria"/>
              </w:rPr>
              <w:t>57.3</w:t>
            </w:r>
          </w:p>
        </w:tc>
        <w:tc>
          <w:tcPr>
            <w:tcW w:w="984" w:type="dxa"/>
          </w:tcPr>
          <w:p w:rsidR="000048CE" w:rsidRDefault="000048CE" w:rsidP="00B06466">
            <w:pPr>
              <w:jc w:val="center"/>
              <w:rPr>
                <w:rFonts w:ascii="Cambria" w:hAnsi="Cambria"/>
              </w:rPr>
            </w:pPr>
            <w:r>
              <w:rPr>
                <w:rFonts w:ascii="Cambria" w:hAnsi="Cambria"/>
              </w:rPr>
              <w:t>59.6</w:t>
            </w:r>
          </w:p>
        </w:tc>
        <w:tc>
          <w:tcPr>
            <w:tcW w:w="984" w:type="dxa"/>
          </w:tcPr>
          <w:p w:rsidR="000048CE" w:rsidRDefault="000048CE" w:rsidP="00B06466">
            <w:pPr>
              <w:jc w:val="center"/>
              <w:rPr>
                <w:rFonts w:ascii="Cambria" w:hAnsi="Cambria"/>
              </w:rPr>
            </w:pPr>
            <w:r>
              <w:rPr>
                <w:rFonts w:ascii="Cambria" w:hAnsi="Cambria"/>
              </w:rPr>
              <w:t>61.1</w:t>
            </w:r>
          </w:p>
        </w:tc>
        <w:tc>
          <w:tcPr>
            <w:tcW w:w="984" w:type="dxa"/>
          </w:tcPr>
          <w:p w:rsidR="000048CE" w:rsidRDefault="000048CE" w:rsidP="00B06466">
            <w:pPr>
              <w:jc w:val="center"/>
              <w:rPr>
                <w:rFonts w:ascii="Cambria" w:hAnsi="Cambria"/>
              </w:rPr>
            </w:pPr>
            <w:r>
              <w:rPr>
                <w:rFonts w:ascii="Cambria" w:hAnsi="Cambria"/>
              </w:rPr>
              <w:t>62.0</w:t>
            </w:r>
          </w:p>
        </w:tc>
      </w:tr>
    </w:tbl>
    <w:p w:rsidR="007631AB" w:rsidRDefault="007631AB" w:rsidP="00F70ACA">
      <w:pPr>
        <w:spacing w:line="480" w:lineRule="auto"/>
      </w:pPr>
    </w:p>
    <w:p w:rsidR="00C57DE4" w:rsidRDefault="007631AB" w:rsidP="00C57DE4">
      <w:pPr>
        <w:spacing w:line="480" w:lineRule="auto"/>
        <w:ind w:firstLine="720"/>
      </w:pPr>
      <w:r>
        <w:t xml:space="preserve">The products were run on a 1.0% </w:t>
      </w:r>
      <w:proofErr w:type="spellStart"/>
      <w:r>
        <w:t>agarose</w:t>
      </w:r>
      <w:proofErr w:type="spellEnd"/>
      <w:r>
        <w:t xml:space="preserve"> gel (Figure 5). </w:t>
      </w:r>
      <w:r w:rsidR="00C57DE4">
        <w:t xml:space="preserve"> The negative controls did not have a </w:t>
      </w:r>
      <w:proofErr w:type="gramStart"/>
      <w:r w:rsidR="00C57DE4">
        <w:t>band,</w:t>
      </w:r>
      <w:proofErr w:type="gramEnd"/>
      <w:r w:rsidR="00C57DE4">
        <w:t xml:space="preserve"> therefore the primers alone do not produce </w:t>
      </w:r>
      <w:proofErr w:type="spellStart"/>
      <w:r w:rsidR="00F75B83">
        <w:t>dimers</w:t>
      </w:r>
      <w:proofErr w:type="spellEnd"/>
      <w:r w:rsidR="00C57DE4">
        <w:t xml:space="preserve">.  All the FaQR1/FaQR3 samples which were amplified, produced double bands at about </w:t>
      </w:r>
      <w:r w:rsidR="00C57DE4">
        <w:rPr>
          <w:rFonts w:ascii="Cambria" w:hAnsi="Cambria"/>
        </w:rPr>
        <w:t>~</w:t>
      </w:r>
      <w:r w:rsidR="00C57DE4">
        <w:t xml:space="preserve">1700-1800 </w:t>
      </w:r>
      <w:proofErr w:type="spellStart"/>
      <w:r w:rsidR="00C57DE4">
        <w:t>bp</w:t>
      </w:r>
      <w:proofErr w:type="spellEnd"/>
      <w:r w:rsidR="00C57DE4">
        <w:t xml:space="preserve">.  The annealing temperature did not affect DNA concentration.  PCR results with FaQR2/FaQR3 varied.  In the case of samples 11 and 12, three bands were present in each.  This may be due to FaQR2 binding to multiple genes.  The uppermost bands are very close, around </w:t>
      </w:r>
      <w:r w:rsidR="00C57DE4">
        <w:rPr>
          <w:rFonts w:ascii="Cambria" w:hAnsi="Cambria"/>
        </w:rPr>
        <w:t>~</w:t>
      </w:r>
      <w:r w:rsidR="00C57DE4">
        <w:t xml:space="preserve">1600-1800 </w:t>
      </w:r>
      <w:proofErr w:type="spellStart"/>
      <w:r w:rsidR="00C57DE4">
        <w:t>bp</w:t>
      </w:r>
      <w:proofErr w:type="spellEnd"/>
      <w:r w:rsidR="00C57DE4">
        <w:t>, therefore it is difficult to determine gene of interest.  No bands were present for 10, 11 and 14, possibly due to an unfavorable annealing temperature.  A temperature of 59.6</w:t>
      </w:r>
      <w:r w:rsidR="00C57DE4">
        <w:rPr>
          <w:rFonts w:ascii="Cambria" w:hAnsi="Cambria"/>
        </w:rPr>
        <w:t>°C was found to be too high.  Sample 9 had one band at 1800 nucleotides.  Bands on sample 12 were brighter than bands on sample 13.  Sample 12 was run at 50.0°C, therefore 50.0°C was determined the optimum annealing temperature.</w:t>
      </w:r>
      <w:r w:rsidR="00C57DE4">
        <w:t xml:space="preserve">  FaQR2 was found to be a less specific primer than FaQR1.</w:t>
      </w:r>
    </w:p>
    <w:p w:rsidR="00F70ACA" w:rsidRDefault="00F70ACA" w:rsidP="007631AB">
      <w:pPr>
        <w:spacing w:line="480" w:lineRule="auto"/>
        <w:ind w:firstLine="720"/>
      </w:pPr>
    </w:p>
    <w:p w:rsidR="00F70ACA" w:rsidRPr="00110FEE" w:rsidRDefault="00F75B83" w:rsidP="00373444">
      <w:pPr>
        <w:spacing w:line="480" w:lineRule="auto"/>
      </w:pPr>
      <w:r w:rsidRPr="00F75B83">
        <w:rPr>
          <w:noProof/>
        </w:rPr>
        <w:drawing>
          <wp:inline distT="0" distB="0" distL="0" distR="0">
            <wp:extent cx="4453247" cy="2873829"/>
            <wp:effectExtent l="0" t="0" r="0" b="0"/>
            <wp:docPr id="2"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467600" cy="4434364"/>
                      <a:chOff x="838200" y="2133600"/>
                      <a:chExt cx="7467600" cy="4434364"/>
                    </a:xfrm>
                  </a:grpSpPr>
                  <a:pic>
                    <a:nvPicPr>
                      <a:cNvPr id="2" name="Picture 1" descr="!STRAWBE.tif"/>
                      <a:cNvPicPr/>
                    </a:nvPicPr>
                    <a:blipFill>
                      <a:blip r:embed="rId9" cstate="print"/>
                      <a:stretch>
                        <a:fillRect/>
                      </a:stretch>
                    </a:blipFill>
                    <a:spPr>
                      <a:xfrm>
                        <a:off x="1524000" y="3200400"/>
                        <a:ext cx="5181600" cy="3367564"/>
                      </a:xfrm>
                      <a:prstGeom prst="rect">
                        <a:avLst/>
                      </a:prstGeom>
                    </a:spPr>
                  </a:pic>
                  <a:sp>
                    <a:nvSpPr>
                      <a:cNvPr id="3" name="TextBox 2"/>
                      <a:cNvSpPr txBox="1"/>
                    </a:nvSpPr>
                    <a:spPr>
                      <a:xfrm>
                        <a:off x="1676400" y="2133600"/>
                        <a:ext cx="369332" cy="1524000"/>
                      </a:xfrm>
                      <a:prstGeom prst="rect">
                        <a:avLst/>
                      </a:prstGeom>
                      <a:noFill/>
                    </a:spPr>
                    <a:txSp>
                      <a:txBody>
                        <a:bodyPr vert="eaVert"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200 </a:t>
                          </a:r>
                          <a:r>
                            <a:rPr lang="en-US" sz="1200" dirty="0" err="1" smtClean="0"/>
                            <a:t>bp</a:t>
                          </a:r>
                          <a:r>
                            <a:rPr lang="en-US" sz="1200" dirty="0" smtClean="0"/>
                            <a:t> Marker</a:t>
                          </a:r>
                        </a:p>
                      </a:txBody>
                      <a:useSpRect/>
                    </a:txSp>
                  </a:sp>
                  <a:sp>
                    <a:nvSpPr>
                      <a:cNvPr id="4" name="TextBox 3"/>
                      <a:cNvSpPr txBox="1"/>
                    </a:nvSpPr>
                    <a:spPr>
                      <a:xfrm>
                        <a:off x="4038600" y="2133600"/>
                        <a:ext cx="369332" cy="1524000"/>
                      </a:xfrm>
                      <a:prstGeom prst="rect">
                        <a:avLst/>
                      </a:prstGeom>
                      <a:noFill/>
                    </a:spPr>
                    <a:txSp>
                      <a:txBody>
                        <a:bodyPr vert="eaVert"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200 </a:t>
                          </a:r>
                          <a:r>
                            <a:rPr lang="en-US" sz="1200" dirty="0" err="1" smtClean="0"/>
                            <a:t>bp</a:t>
                          </a:r>
                          <a:r>
                            <a:rPr lang="en-US" sz="1200" dirty="0" smtClean="0"/>
                            <a:t> Marker</a:t>
                          </a:r>
                        </a:p>
                      </a:txBody>
                      <a:useSpRect/>
                    </a:txSp>
                  </a:sp>
                  <a:sp>
                    <a:nvSpPr>
                      <a:cNvPr id="5" name="TextBox 4"/>
                      <a:cNvSpPr txBox="1"/>
                    </a:nvSpPr>
                    <a:spPr>
                      <a:xfrm>
                        <a:off x="5943600" y="4495800"/>
                        <a:ext cx="609600" cy="215444"/>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800" dirty="0" smtClean="0">
                              <a:solidFill>
                                <a:schemeClr val="bg1"/>
                              </a:solidFill>
                            </a:rPr>
                            <a:t>50⁰ C </a:t>
                          </a:r>
                          <a:endParaRPr lang="en-US" sz="800" dirty="0">
                            <a:solidFill>
                              <a:schemeClr val="bg1"/>
                            </a:solidFill>
                          </a:endParaRPr>
                        </a:p>
                      </a:txBody>
                      <a:useSpRect/>
                    </a:txSp>
                  </a:sp>
                  <a:sp>
                    <a:nvSpPr>
                      <a:cNvPr id="6" name="TextBox 5"/>
                      <a:cNvSpPr txBox="1"/>
                    </a:nvSpPr>
                    <a:spPr>
                      <a:xfrm>
                        <a:off x="5105400" y="4495800"/>
                        <a:ext cx="609600" cy="215444"/>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800" dirty="0" smtClean="0">
                              <a:solidFill>
                                <a:schemeClr val="bg1"/>
                              </a:solidFill>
                            </a:rPr>
                            <a:t>50⁰ C </a:t>
                          </a:r>
                          <a:endParaRPr lang="en-US" sz="800" dirty="0">
                            <a:solidFill>
                              <a:schemeClr val="bg1"/>
                            </a:solidFill>
                          </a:endParaRPr>
                        </a:p>
                      </a:txBody>
                      <a:useSpRect/>
                    </a:txSp>
                  </a:sp>
                  <a:sp>
                    <a:nvSpPr>
                      <a:cNvPr id="8" name="TextBox 7"/>
                      <a:cNvSpPr txBox="1"/>
                    </a:nvSpPr>
                    <a:spPr>
                      <a:xfrm>
                        <a:off x="4419600" y="5181600"/>
                        <a:ext cx="609600" cy="215444"/>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800" dirty="0" smtClean="0">
                              <a:solidFill>
                                <a:schemeClr val="bg1"/>
                              </a:solidFill>
                            </a:rPr>
                            <a:t>50⁰ C </a:t>
                          </a:r>
                          <a:endParaRPr lang="en-US" sz="800" dirty="0">
                            <a:solidFill>
                              <a:schemeClr val="bg1"/>
                            </a:solidFill>
                          </a:endParaRPr>
                        </a:p>
                      </a:txBody>
                      <a:useSpRect/>
                    </a:txSp>
                  </a:sp>
                  <a:sp>
                    <a:nvSpPr>
                      <a:cNvPr id="9" name="TextBox 8"/>
                      <a:cNvSpPr txBox="1"/>
                    </a:nvSpPr>
                    <a:spPr>
                      <a:xfrm>
                        <a:off x="1905000" y="4724400"/>
                        <a:ext cx="609600" cy="215444"/>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800" dirty="0" smtClean="0">
                              <a:solidFill>
                                <a:schemeClr val="bg1"/>
                              </a:solidFill>
                            </a:rPr>
                            <a:t>50⁰ C </a:t>
                          </a:r>
                          <a:endParaRPr lang="en-US" sz="800" dirty="0">
                            <a:solidFill>
                              <a:schemeClr val="bg1"/>
                            </a:solidFill>
                          </a:endParaRPr>
                        </a:p>
                      </a:txBody>
                      <a:useSpRect/>
                    </a:txSp>
                  </a:sp>
                  <a:sp>
                    <a:nvSpPr>
                      <a:cNvPr id="10" name="TextBox 9"/>
                      <a:cNvSpPr txBox="1"/>
                    </a:nvSpPr>
                    <a:spPr>
                      <a:xfrm>
                        <a:off x="3810000" y="4648200"/>
                        <a:ext cx="609600" cy="215444"/>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800" dirty="0" smtClean="0">
                              <a:solidFill>
                                <a:schemeClr val="bg1"/>
                              </a:solidFill>
                            </a:rPr>
                            <a:t>50⁰ C </a:t>
                          </a:r>
                          <a:endParaRPr lang="en-US" sz="800" dirty="0">
                            <a:solidFill>
                              <a:schemeClr val="bg1"/>
                            </a:solidFill>
                          </a:endParaRPr>
                        </a:p>
                      </a:txBody>
                      <a:useSpRect/>
                    </a:txSp>
                  </a:sp>
                  <a:sp>
                    <a:nvSpPr>
                      <a:cNvPr id="11" name="TextBox 10"/>
                      <a:cNvSpPr txBox="1"/>
                    </a:nvSpPr>
                    <a:spPr>
                      <a:xfrm>
                        <a:off x="2819400" y="4953000"/>
                        <a:ext cx="609600" cy="215444"/>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800" dirty="0" smtClean="0">
                              <a:solidFill>
                                <a:schemeClr val="bg1"/>
                              </a:solidFill>
                            </a:rPr>
                            <a:t>50⁰ C </a:t>
                          </a:r>
                          <a:endParaRPr lang="en-US" sz="800" dirty="0">
                            <a:solidFill>
                              <a:schemeClr val="bg1"/>
                            </a:solidFill>
                          </a:endParaRPr>
                        </a:p>
                      </a:txBody>
                      <a:useSpRect/>
                    </a:txSp>
                  </a:sp>
                  <a:sp>
                    <a:nvSpPr>
                      <a:cNvPr id="12" name="TextBox 11"/>
                      <a:cNvSpPr txBox="1"/>
                    </a:nvSpPr>
                    <a:spPr>
                      <a:xfrm>
                        <a:off x="3581400" y="4419600"/>
                        <a:ext cx="609600" cy="215444"/>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800" dirty="0" smtClean="0">
                              <a:solidFill>
                                <a:schemeClr val="bg1"/>
                              </a:solidFill>
                            </a:rPr>
                            <a:t>50⁰ C </a:t>
                          </a:r>
                          <a:endParaRPr lang="en-US" sz="800" dirty="0">
                            <a:solidFill>
                              <a:schemeClr val="bg1"/>
                            </a:solidFill>
                          </a:endParaRPr>
                        </a:p>
                      </a:txBody>
                      <a:useSpRect/>
                    </a:txSp>
                  </a:sp>
                  <a:sp>
                    <a:nvSpPr>
                      <a:cNvPr id="13" name="TextBox 12"/>
                      <a:cNvSpPr txBox="1"/>
                    </a:nvSpPr>
                    <a:spPr>
                      <a:xfrm>
                        <a:off x="5638800" y="4191000"/>
                        <a:ext cx="609600" cy="215444"/>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800" dirty="0" smtClean="0">
                              <a:solidFill>
                                <a:schemeClr val="bg1"/>
                              </a:solidFill>
                            </a:rPr>
                            <a:t>54.4⁰ C </a:t>
                          </a:r>
                          <a:endParaRPr lang="en-US" sz="800" dirty="0">
                            <a:solidFill>
                              <a:schemeClr val="bg1"/>
                            </a:solidFill>
                          </a:endParaRPr>
                        </a:p>
                      </a:txBody>
                      <a:useSpRect/>
                    </a:txSp>
                  </a:sp>
                  <a:sp>
                    <a:nvSpPr>
                      <a:cNvPr id="14" name="TextBox 13"/>
                      <a:cNvSpPr txBox="1"/>
                    </a:nvSpPr>
                    <a:spPr>
                      <a:xfrm>
                        <a:off x="4876800" y="4191000"/>
                        <a:ext cx="609600" cy="215444"/>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800" dirty="0" smtClean="0">
                              <a:solidFill>
                                <a:schemeClr val="bg1"/>
                              </a:solidFill>
                            </a:rPr>
                            <a:t>54.4⁰ C </a:t>
                          </a:r>
                          <a:endParaRPr lang="en-US" sz="800" dirty="0">
                            <a:solidFill>
                              <a:schemeClr val="bg1"/>
                            </a:solidFill>
                          </a:endParaRPr>
                        </a:p>
                      </a:txBody>
                      <a:useSpRect/>
                    </a:txSp>
                  </a:sp>
                  <a:sp>
                    <a:nvSpPr>
                      <a:cNvPr id="15" name="TextBox 14"/>
                      <a:cNvSpPr txBox="1"/>
                    </a:nvSpPr>
                    <a:spPr>
                      <a:xfrm>
                        <a:off x="3276600" y="4191000"/>
                        <a:ext cx="609600" cy="215444"/>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800" dirty="0" smtClean="0">
                              <a:solidFill>
                                <a:schemeClr val="bg1"/>
                              </a:solidFill>
                            </a:rPr>
                            <a:t>54.4⁰ C </a:t>
                          </a:r>
                          <a:endParaRPr lang="en-US" sz="800" dirty="0">
                            <a:solidFill>
                              <a:schemeClr val="bg1"/>
                            </a:solidFill>
                          </a:endParaRPr>
                        </a:p>
                      </a:txBody>
                      <a:useSpRect/>
                    </a:txSp>
                  </a:sp>
                  <a:sp>
                    <a:nvSpPr>
                      <a:cNvPr id="16" name="TextBox 15"/>
                      <a:cNvSpPr txBox="1"/>
                    </a:nvSpPr>
                    <a:spPr>
                      <a:xfrm>
                        <a:off x="2514600" y="4648200"/>
                        <a:ext cx="609600" cy="215444"/>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800" dirty="0" smtClean="0">
                              <a:solidFill>
                                <a:schemeClr val="bg1"/>
                              </a:solidFill>
                            </a:rPr>
                            <a:t>54.4⁰ C </a:t>
                          </a:r>
                          <a:endParaRPr lang="en-US" sz="800" dirty="0">
                            <a:solidFill>
                              <a:schemeClr val="bg1"/>
                            </a:solidFill>
                          </a:endParaRPr>
                        </a:p>
                      </a:txBody>
                      <a:useSpRect/>
                    </a:txSp>
                  </a:sp>
                  <a:sp>
                    <a:nvSpPr>
                      <a:cNvPr id="17" name="TextBox 16"/>
                      <a:cNvSpPr txBox="1"/>
                    </a:nvSpPr>
                    <a:spPr>
                      <a:xfrm>
                        <a:off x="4572000" y="4495800"/>
                        <a:ext cx="609600" cy="215444"/>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800" dirty="0" smtClean="0">
                              <a:solidFill>
                                <a:schemeClr val="bg1"/>
                              </a:solidFill>
                            </a:rPr>
                            <a:t>59⁰ C </a:t>
                          </a:r>
                          <a:endParaRPr lang="en-US" sz="800" dirty="0">
                            <a:solidFill>
                              <a:schemeClr val="bg1"/>
                            </a:solidFill>
                          </a:endParaRPr>
                        </a:p>
                      </a:txBody>
                      <a:useSpRect/>
                    </a:txSp>
                  </a:sp>
                  <a:sp>
                    <a:nvSpPr>
                      <a:cNvPr id="18" name="TextBox 17"/>
                      <a:cNvSpPr txBox="1"/>
                    </a:nvSpPr>
                    <a:spPr>
                      <a:xfrm>
                        <a:off x="2971800" y="4572000"/>
                        <a:ext cx="609600" cy="215444"/>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800" dirty="0" smtClean="0">
                              <a:solidFill>
                                <a:schemeClr val="bg1"/>
                              </a:solidFill>
                            </a:rPr>
                            <a:t>59⁰ C </a:t>
                          </a:r>
                          <a:endParaRPr lang="en-US" sz="800" dirty="0">
                            <a:solidFill>
                              <a:schemeClr val="bg1"/>
                            </a:solidFill>
                          </a:endParaRPr>
                        </a:p>
                      </a:txBody>
                      <a:useSpRect/>
                    </a:txSp>
                  </a:sp>
                  <a:sp>
                    <a:nvSpPr>
                      <a:cNvPr id="19" name="TextBox 18"/>
                      <a:cNvSpPr txBox="1"/>
                    </a:nvSpPr>
                    <a:spPr>
                      <a:xfrm>
                        <a:off x="2133600" y="4953000"/>
                        <a:ext cx="609600" cy="215444"/>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800" dirty="0" smtClean="0">
                              <a:solidFill>
                                <a:schemeClr val="bg1"/>
                              </a:solidFill>
                            </a:rPr>
                            <a:t>59⁰ C </a:t>
                          </a:r>
                          <a:endParaRPr lang="en-US" sz="800" dirty="0">
                            <a:solidFill>
                              <a:schemeClr val="bg1"/>
                            </a:solidFill>
                          </a:endParaRPr>
                        </a:p>
                      </a:txBody>
                      <a:useSpRect/>
                    </a:txSp>
                  </a:sp>
                  <a:sp>
                    <a:nvSpPr>
                      <a:cNvPr id="20" name="TextBox 19"/>
                      <a:cNvSpPr txBox="1"/>
                    </a:nvSpPr>
                    <a:spPr>
                      <a:xfrm>
                        <a:off x="5410200" y="4419600"/>
                        <a:ext cx="609600" cy="215444"/>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800" dirty="0" smtClean="0">
                              <a:solidFill>
                                <a:schemeClr val="bg1"/>
                              </a:solidFill>
                            </a:rPr>
                            <a:t>59⁰ C </a:t>
                          </a:r>
                          <a:endParaRPr lang="en-US" sz="800" dirty="0">
                            <a:solidFill>
                              <a:schemeClr val="bg1"/>
                            </a:solidFill>
                          </a:endParaRPr>
                        </a:p>
                      </a:txBody>
                      <a:useSpRect/>
                    </a:txSp>
                  </a:sp>
                  <a:sp>
                    <a:nvSpPr>
                      <a:cNvPr id="21" name="TextBox 20"/>
                      <a:cNvSpPr txBox="1"/>
                    </a:nvSpPr>
                    <a:spPr>
                      <a:xfrm>
                        <a:off x="3505200" y="2895600"/>
                        <a:ext cx="369332" cy="457200"/>
                      </a:xfrm>
                      <a:prstGeom prst="rect">
                        <a:avLst/>
                      </a:prstGeom>
                      <a:noFill/>
                    </a:spPr>
                    <a:txSp>
                      <a:txBody>
                        <a:bodyPr vert="eaVert"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9</a:t>
                          </a:r>
                          <a:endParaRPr lang="en-US" sz="1200" dirty="0" smtClean="0"/>
                        </a:p>
                      </a:txBody>
                      <a:useSpRect/>
                    </a:txSp>
                  </a:sp>
                  <a:sp>
                    <a:nvSpPr>
                      <a:cNvPr id="22" name="TextBox 21"/>
                      <a:cNvSpPr txBox="1"/>
                    </a:nvSpPr>
                    <a:spPr>
                      <a:xfrm>
                        <a:off x="3200400" y="2895600"/>
                        <a:ext cx="369332" cy="457200"/>
                      </a:xfrm>
                      <a:prstGeom prst="rect">
                        <a:avLst/>
                      </a:prstGeom>
                      <a:noFill/>
                    </a:spPr>
                    <a:txSp>
                      <a:txBody>
                        <a:bodyPr vert="eaVert"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10</a:t>
                          </a:r>
                          <a:endParaRPr lang="en-US" sz="1200" dirty="0" smtClean="0"/>
                        </a:p>
                      </a:txBody>
                      <a:useSpRect/>
                    </a:txSp>
                  </a:sp>
                  <a:sp>
                    <a:nvSpPr>
                      <a:cNvPr id="23" name="TextBox 22"/>
                      <a:cNvSpPr txBox="1"/>
                    </a:nvSpPr>
                    <a:spPr>
                      <a:xfrm>
                        <a:off x="2971800" y="2895600"/>
                        <a:ext cx="369332" cy="457200"/>
                      </a:xfrm>
                      <a:prstGeom prst="rect">
                        <a:avLst/>
                      </a:prstGeom>
                      <a:noFill/>
                    </a:spPr>
                    <a:txSp>
                      <a:txBody>
                        <a:bodyPr vert="eaVert"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11</a:t>
                          </a:r>
                          <a:endParaRPr lang="en-US" sz="1200" dirty="0" smtClean="0"/>
                        </a:p>
                      </a:txBody>
                      <a:useSpRect/>
                    </a:txSp>
                  </a:sp>
                  <a:sp>
                    <a:nvSpPr>
                      <a:cNvPr id="24" name="TextBox 23"/>
                      <a:cNvSpPr txBox="1"/>
                    </a:nvSpPr>
                    <a:spPr>
                      <a:xfrm>
                        <a:off x="5410200" y="2895600"/>
                        <a:ext cx="369332" cy="457200"/>
                      </a:xfrm>
                      <a:prstGeom prst="rect">
                        <a:avLst/>
                      </a:prstGeom>
                      <a:noFill/>
                    </a:spPr>
                    <a:txSp>
                      <a:txBody>
                        <a:bodyPr vert="eaVert"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3</a:t>
                          </a:r>
                          <a:endParaRPr lang="en-US" sz="1200" dirty="0" smtClean="0"/>
                        </a:p>
                      </a:txBody>
                      <a:useSpRect/>
                    </a:txSp>
                  </a:sp>
                  <a:sp>
                    <a:nvSpPr>
                      <a:cNvPr id="25" name="TextBox 24"/>
                      <a:cNvSpPr txBox="1"/>
                    </a:nvSpPr>
                    <a:spPr>
                      <a:xfrm>
                        <a:off x="5715000" y="2895600"/>
                        <a:ext cx="369332" cy="457200"/>
                      </a:xfrm>
                      <a:prstGeom prst="rect">
                        <a:avLst/>
                      </a:prstGeom>
                      <a:noFill/>
                    </a:spPr>
                    <a:txSp>
                      <a:txBody>
                        <a:bodyPr vert="eaVert"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2</a:t>
                          </a:r>
                          <a:endParaRPr lang="en-US" sz="1200" dirty="0" smtClean="0"/>
                        </a:p>
                      </a:txBody>
                      <a:useSpRect/>
                    </a:txSp>
                  </a:sp>
                  <a:sp>
                    <a:nvSpPr>
                      <a:cNvPr id="26" name="TextBox 25"/>
                      <a:cNvSpPr txBox="1"/>
                    </a:nvSpPr>
                    <a:spPr>
                      <a:xfrm>
                        <a:off x="6019800" y="2895600"/>
                        <a:ext cx="369332" cy="457200"/>
                      </a:xfrm>
                      <a:prstGeom prst="rect">
                        <a:avLst/>
                      </a:prstGeom>
                      <a:noFill/>
                    </a:spPr>
                    <a:txSp>
                      <a:txBody>
                        <a:bodyPr vert="eaVert"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1</a:t>
                          </a:r>
                          <a:endParaRPr lang="en-US" sz="1200" dirty="0" smtClean="0"/>
                        </a:p>
                      </a:txBody>
                      <a:useSpRect/>
                    </a:txSp>
                  </a:sp>
                  <a:sp>
                    <a:nvSpPr>
                      <a:cNvPr id="27" name="TextBox 26"/>
                      <a:cNvSpPr txBox="1"/>
                    </a:nvSpPr>
                    <a:spPr>
                      <a:xfrm>
                        <a:off x="2209800" y="2895600"/>
                        <a:ext cx="369332" cy="457200"/>
                      </a:xfrm>
                      <a:prstGeom prst="rect">
                        <a:avLst/>
                      </a:prstGeom>
                      <a:noFill/>
                    </a:spPr>
                    <a:txSp>
                      <a:txBody>
                        <a:bodyPr vert="eaVert"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14</a:t>
                          </a:r>
                          <a:endParaRPr lang="en-US" sz="1200" dirty="0" smtClean="0"/>
                        </a:p>
                      </a:txBody>
                      <a:useSpRect/>
                    </a:txSp>
                  </a:sp>
                  <a:sp>
                    <a:nvSpPr>
                      <a:cNvPr id="28" name="TextBox 27"/>
                      <a:cNvSpPr txBox="1"/>
                    </a:nvSpPr>
                    <a:spPr>
                      <a:xfrm>
                        <a:off x="2514600" y="2895600"/>
                        <a:ext cx="369332" cy="457200"/>
                      </a:xfrm>
                      <a:prstGeom prst="rect">
                        <a:avLst/>
                      </a:prstGeom>
                      <a:noFill/>
                    </a:spPr>
                    <a:txSp>
                      <a:txBody>
                        <a:bodyPr vert="eaVert"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13</a:t>
                          </a:r>
                          <a:endParaRPr lang="en-US" sz="1200" dirty="0" smtClean="0"/>
                        </a:p>
                      </a:txBody>
                      <a:useSpRect/>
                    </a:txSp>
                  </a:sp>
                  <a:sp>
                    <a:nvSpPr>
                      <a:cNvPr id="29" name="TextBox 28"/>
                      <a:cNvSpPr txBox="1"/>
                    </a:nvSpPr>
                    <a:spPr>
                      <a:xfrm>
                        <a:off x="2743200" y="2895600"/>
                        <a:ext cx="369332" cy="457200"/>
                      </a:xfrm>
                      <a:prstGeom prst="rect">
                        <a:avLst/>
                      </a:prstGeom>
                      <a:noFill/>
                    </a:spPr>
                    <a:txSp>
                      <a:txBody>
                        <a:bodyPr vert="eaVert"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12</a:t>
                          </a:r>
                          <a:endParaRPr lang="en-US" sz="1200" dirty="0" smtClean="0"/>
                        </a:p>
                      </a:txBody>
                      <a:useSpRect/>
                    </a:txSp>
                  </a:sp>
                  <a:sp>
                    <a:nvSpPr>
                      <a:cNvPr id="30" name="TextBox 29"/>
                      <a:cNvSpPr txBox="1"/>
                    </a:nvSpPr>
                    <a:spPr>
                      <a:xfrm>
                        <a:off x="4648200" y="2895600"/>
                        <a:ext cx="369332" cy="457200"/>
                      </a:xfrm>
                      <a:prstGeom prst="rect">
                        <a:avLst/>
                      </a:prstGeom>
                      <a:noFill/>
                    </a:spPr>
                    <a:txSp>
                      <a:txBody>
                        <a:bodyPr vert="eaVert"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6</a:t>
                          </a:r>
                          <a:endParaRPr lang="en-US" sz="1200" dirty="0" smtClean="0"/>
                        </a:p>
                      </a:txBody>
                      <a:useSpRect/>
                    </a:txSp>
                  </a:sp>
                  <a:sp>
                    <a:nvSpPr>
                      <a:cNvPr id="31" name="TextBox 30"/>
                      <a:cNvSpPr txBox="1"/>
                    </a:nvSpPr>
                    <a:spPr>
                      <a:xfrm>
                        <a:off x="4876800" y="2895600"/>
                        <a:ext cx="369332" cy="457200"/>
                      </a:xfrm>
                      <a:prstGeom prst="rect">
                        <a:avLst/>
                      </a:prstGeom>
                      <a:noFill/>
                    </a:spPr>
                    <a:txSp>
                      <a:txBody>
                        <a:bodyPr vert="eaVert"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5</a:t>
                          </a:r>
                          <a:endParaRPr lang="en-US" sz="1200" dirty="0" smtClean="0"/>
                        </a:p>
                      </a:txBody>
                      <a:useSpRect/>
                    </a:txSp>
                  </a:sp>
                  <a:sp>
                    <a:nvSpPr>
                      <a:cNvPr id="32" name="TextBox 31"/>
                      <a:cNvSpPr txBox="1"/>
                    </a:nvSpPr>
                    <a:spPr>
                      <a:xfrm>
                        <a:off x="5105400" y="2895600"/>
                        <a:ext cx="369332" cy="304800"/>
                      </a:xfrm>
                      <a:prstGeom prst="rect">
                        <a:avLst/>
                      </a:prstGeom>
                      <a:noFill/>
                    </a:spPr>
                    <a:txSp>
                      <a:txBody>
                        <a:bodyPr vert="eaVert"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4</a:t>
                          </a:r>
                        </a:p>
                      </a:txBody>
                      <a:useSpRect/>
                    </a:txSp>
                  </a:sp>
                  <a:sp>
                    <a:nvSpPr>
                      <a:cNvPr id="33" name="TextBox 32"/>
                      <a:cNvSpPr txBox="1"/>
                    </a:nvSpPr>
                    <a:spPr>
                      <a:xfrm>
                        <a:off x="1981200" y="2209800"/>
                        <a:ext cx="369332" cy="2514600"/>
                      </a:xfrm>
                      <a:prstGeom prst="rect">
                        <a:avLst/>
                      </a:prstGeom>
                      <a:noFill/>
                    </a:spPr>
                    <a:txSp>
                      <a:txBody>
                        <a:bodyPr vert="eaVert"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Neg. Control</a:t>
                          </a:r>
                        </a:p>
                      </a:txBody>
                      <a:useSpRect/>
                    </a:txSp>
                  </a:sp>
                  <a:sp>
                    <a:nvSpPr>
                      <a:cNvPr id="34" name="TextBox 33"/>
                      <a:cNvSpPr txBox="1"/>
                    </a:nvSpPr>
                    <a:spPr>
                      <a:xfrm>
                        <a:off x="3733800" y="2286000"/>
                        <a:ext cx="369332" cy="2514600"/>
                      </a:xfrm>
                      <a:prstGeom prst="rect">
                        <a:avLst/>
                      </a:prstGeom>
                      <a:noFill/>
                    </a:spPr>
                    <a:txSp>
                      <a:txBody>
                        <a:bodyPr vert="eaVert"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Neg. Control</a:t>
                          </a:r>
                        </a:p>
                      </a:txBody>
                      <a:useSpRect/>
                    </a:txSp>
                  </a:sp>
                  <a:sp>
                    <a:nvSpPr>
                      <a:cNvPr id="35" name="TextBox 34"/>
                      <a:cNvSpPr txBox="1"/>
                    </a:nvSpPr>
                    <a:spPr>
                      <a:xfrm>
                        <a:off x="4343400" y="2286000"/>
                        <a:ext cx="369332" cy="2514600"/>
                      </a:xfrm>
                      <a:prstGeom prst="rect">
                        <a:avLst/>
                      </a:prstGeom>
                      <a:noFill/>
                    </a:spPr>
                    <a:txSp>
                      <a:txBody>
                        <a:bodyPr vert="eaVert"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Pos. Control</a:t>
                          </a:r>
                        </a:p>
                      </a:txBody>
                      <a:useSpRect/>
                    </a:txSp>
                  </a:sp>
                  <a:cxnSp>
                    <a:nvCxnSpPr>
                      <a:cNvPr id="36" name="Straight Arrow Connector 35"/>
                      <a:cNvCxnSpPr/>
                    </a:nvCxnSpPr>
                    <a:spPr>
                      <a:xfrm rot="10800000">
                        <a:off x="6248400" y="4419600"/>
                        <a:ext cx="457200" cy="1588"/>
                      </a:xfrm>
                      <a:prstGeom prst="straightConnector1">
                        <a:avLst/>
                      </a:prstGeom>
                      <a:ln>
                        <a:solidFill>
                          <a:schemeClr val="bg1"/>
                        </a:solidFill>
                        <a:tailEnd type="arrow"/>
                      </a:ln>
                    </a:spPr>
                    <a:style>
                      <a:lnRef idx="3">
                        <a:schemeClr val="dk1"/>
                      </a:lnRef>
                      <a:fillRef idx="0">
                        <a:schemeClr val="dk1"/>
                      </a:fillRef>
                      <a:effectRef idx="2">
                        <a:schemeClr val="dk1"/>
                      </a:effectRef>
                      <a:fontRef idx="minor">
                        <a:schemeClr val="tx1"/>
                      </a:fontRef>
                    </a:style>
                  </a:cxnSp>
                  <a:cxnSp>
                    <a:nvCxnSpPr>
                      <a:cNvPr id="42" name="Straight Arrow Connector 41"/>
                      <a:cNvCxnSpPr/>
                    </a:nvCxnSpPr>
                    <a:spPr>
                      <a:xfrm>
                        <a:off x="1295400" y="4648200"/>
                        <a:ext cx="457200" cy="1588"/>
                      </a:xfrm>
                      <a:prstGeom prst="straightConnector1">
                        <a:avLst/>
                      </a:prstGeom>
                      <a:ln>
                        <a:solidFill>
                          <a:schemeClr val="bg1"/>
                        </a:solidFill>
                        <a:tailEnd type="arrow"/>
                      </a:ln>
                    </a:spPr>
                    <a:style>
                      <a:lnRef idx="3">
                        <a:schemeClr val="dk1"/>
                      </a:lnRef>
                      <a:fillRef idx="0">
                        <a:schemeClr val="dk1"/>
                      </a:fillRef>
                      <a:effectRef idx="2">
                        <a:schemeClr val="dk1"/>
                      </a:effectRef>
                      <a:fontRef idx="minor">
                        <a:schemeClr val="tx1"/>
                      </a:fontRef>
                    </a:style>
                  </a:cxnSp>
                  <a:cxnSp>
                    <a:nvCxnSpPr>
                      <a:cNvPr id="48" name="Straight Arrow Connector 47"/>
                      <a:cNvCxnSpPr/>
                    </a:nvCxnSpPr>
                    <a:spPr>
                      <a:xfrm>
                        <a:off x="1295400" y="4343400"/>
                        <a:ext cx="457200" cy="1588"/>
                      </a:xfrm>
                      <a:prstGeom prst="straightConnector1">
                        <a:avLst/>
                      </a:prstGeom>
                      <a:ln>
                        <a:solidFill>
                          <a:schemeClr val="bg1"/>
                        </a:solidFill>
                        <a:tailEnd type="arrow"/>
                      </a:ln>
                    </a:spPr>
                    <a:style>
                      <a:lnRef idx="3">
                        <a:schemeClr val="dk1"/>
                      </a:lnRef>
                      <a:fillRef idx="0">
                        <a:schemeClr val="dk1"/>
                      </a:fillRef>
                      <a:effectRef idx="2">
                        <a:schemeClr val="dk1"/>
                      </a:effectRef>
                      <a:fontRef idx="minor">
                        <a:schemeClr val="tx1"/>
                      </a:fontRef>
                    </a:style>
                  </a:cxnSp>
                  <a:sp>
                    <a:nvSpPr>
                      <a:cNvPr id="52" name="TextBox 51"/>
                      <a:cNvSpPr txBox="1"/>
                    </a:nvSpPr>
                    <a:spPr>
                      <a:xfrm>
                        <a:off x="6705600" y="4267200"/>
                        <a:ext cx="1600200" cy="24622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000" dirty="0" smtClean="0"/>
                            <a:t>1600-1800bp</a:t>
                          </a:r>
                          <a:endParaRPr lang="en-US" sz="1000" dirty="0"/>
                        </a:p>
                      </a:txBody>
                      <a:useSpRect/>
                    </a:txSp>
                  </a:sp>
                  <a:sp>
                    <a:nvSpPr>
                      <a:cNvPr id="53" name="TextBox 52"/>
                      <a:cNvSpPr txBox="1"/>
                    </a:nvSpPr>
                    <a:spPr>
                      <a:xfrm>
                        <a:off x="838200" y="4572000"/>
                        <a:ext cx="1600200" cy="24622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000" dirty="0" smtClean="0"/>
                            <a:t>1000bp</a:t>
                          </a:r>
                          <a:endParaRPr lang="en-US" sz="1000" dirty="0"/>
                        </a:p>
                      </a:txBody>
                      <a:useSpRect/>
                    </a:txSp>
                  </a:sp>
                  <a:sp>
                    <a:nvSpPr>
                      <a:cNvPr id="54" name="TextBox 53"/>
                      <a:cNvSpPr txBox="1"/>
                    </a:nvSpPr>
                    <a:spPr>
                      <a:xfrm>
                        <a:off x="838200" y="4267200"/>
                        <a:ext cx="1600200" cy="24622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000" dirty="0" smtClean="0"/>
                            <a:t>2000bp</a:t>
                          </a:r>
                          <a:endParaRPr lang="en-US" sz="1000" dirty="0"/>
                        </a:p>
                      </a:txBody>
                      <a:useSpRect/>
                    </a:txSp>
                  </a:sp>
                  <a:sp>
                    <a:nvSpPr>
                      <a:cNvPr id="41" name="Right Brace 40"/>
                      <a:cNvSpPr/>
                    </a:nvSpPr>
                    <a:spPr>
                      <a:xfrm rot="5400000">
                        <a:off x="2895600" y="4876800"/>
                        <a:ext cx="533400" cy="1905000"/>
                      </a:xfrm>
                      <a:prstGeom prst="rightBrace">
                        <a:avLst>
                          <a:gd name="adj1" fmla="val 8333"/>
                          <a:gd name="adj2" fmla="val 50000"/>
                        </a:avLst>
                      </a:prstGeom>
                      <a:ln>
                        <a:solidFill>
                          <a:schemeClr val="bg1"/>
                        </a:solidFill>
                      </a:ln>
                    </a:spPr>
                    <a:txSp>
                      <a:txBody>
                        <a:bodyPr vert="vert"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2">
                        <a:schemeClr val="dk1"/>
                      </a:lnRef>
                      <a:fillRef idx="0">
                        <a:schemeClr val="dk1"/>
                      </a:fillRef>
                      <a:effectRef idx="1">
                        <a:schemeClr val="dk1"/>
                      </a:effectRef>
                      <a:fontRef idx="minor">
                        <a:schemeClr val="tx1"/>
                      </a:fontRef>
                    </a:style>
                  </a:sp>
                  <a:sp>
                    <a:nvSpPr>
                      <a:cNvPr id="43" name="Right Brace 42"/>
                      <a:cNvSpPr/>
                    </a:nvSpPr>
                    <a:spPr>
                      <a:xfrm rot="5400000">
                        <a:off x="5448300" y="4914900"/>
                        <a:ext cx="533400" cy="1828800"/>
                      </a:xfrm>
                      <a:prstGeom prst="rightBrace">
                        <a:avLst>
                          <a:gd name="adj1" fmla="val 8333"/>
                          <a:gd name="adj2" fmla="val 50000"/>
                        </a:avLst>
                      </a:prstGeom>
                      <a:ln>
                        <a:solidFill>
                          <a:schemeClr val="bg1"/>
                        </a:solidFill>
                      </a:ln>
                    </a:spPr>
                    <a:txSp>
                      <a:txBody>
                        <a:bodyPr vert="vert"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2">
                        <a:schemeClr val="dk1"/>
                      </a:lnRef>
                      <a:fillRef idx="0">
                        <a:schemeClr val="dk1"/>
                      </a:fillRef>
                      <a:effectRef idx="1">
                        <a:schemeClr val="dk1"/>
                      </a:effectRef>
                      <a:fontRef idx="minor">
                        <a:schemeClr val="tx1"/>
                      </a:fontRef>
                    </a:style>
                  </a:sp>
                  <a:sp>
                    <a:nvSpPr>
                      <a:cNvPr id="44" name="TextBox 43"/>
                      <a:cNvSpPr txBox="1"/>
                    </a:nvSpPr>
                    <a:spPr>
                      <a:xfrm>
                        <a:off x="4648200" y="6096000"/>
                        <a:ext cx="28194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solidFill>
                                <a:schemeClr val="bg1"/>
                              </a:solidFill>
                            </a:rPr>
                            <a:t>FaQR1/FaQR3</a:t>
                          </a:r>
                          <a:endParaRPr lang="en-US" dirty="0">
                            <a:solidFill>
                              <a:schemeClr val="bg1"/>
                            </a:solidFill>
                          </a:endParaRPr>
                        </a:p>
                      </a:txBody>
                      <a:useSpRect/>
                    </a:txSp>
                  </a:sp>
                  <a:sp>
                    <a:nvSpPr>
                      <a:cNvPr id="45" name="TextBox 44"/>
                      <a:cNvSpPr txBox="1"/>
                    </a:nvSpPr>
                    <a:spPr>
                      <a:xfrm>
                        <a:off x="2286000" y="6172200"/>
                        <a:ext cx="28194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solidFill>
                                <a:schemeClr val="bg1"/>
                              </a:solidFill>
                            </a:rPr>
                            <a:t>FaQR2/FaQR3</a:t>
                          </a:r>
                          <a:endParaRPr lang="en-US" dirty="0">
                            <a:solidFill>
                              <a:schemeClr val="bg1"/>
                            </a:solidFill>
                          </a:endParaRPr>
                        </a:p>
                      </a:txBody>
                      <a:useSpRect/>
                    </a:txSp>
                  </a:sp>
                </lc:lockedCanvas>
              </a:graphicData>
            </a:graphic>
          </wp:inline>
        </w:drawing>
      </w:r>
      <w:r w:rsidR="00F70ACA">
        <w:t xml:space="preserve">                 </w:t>
      </w:r>
    </w:p>
    <w:p w:rsidR="007631AB" w:rsidRDefault="00F70ACA" w:rsidP="00EB1756">
      <w:r>
        <w:rPr>
          <w:b/>
        </w:rPr>
        <w:t xml:space="preserve">Figure 5.  </w:t>
      </w:r>
      <w:proofErr w:type="gramStart"/>
      <w:r>
        <w:t xml:space="preserve">Results of temperature annealing </w:t>
      </w:r>
      <w:r w:rsidR="007631AB">
        <w:t>analysis PCR.</w:t>
      </w:r>
      <w:proofErr w:type="gramEnd"/>
    </w:p>
    <w:p w:rsidR="003800A9" w:rsidRDefault="003800A9" w:rsidP="007631AB">
      <w:pPr>
        <w:spacing w:line="480" w:lineRule="auto"/>
        <w:ind w:firstLine="720"/>
      </w:pPr>
    </w:p>
    <w:p w:rsidR="003800A9" w:rsidRDefault="007631AB" w:rsidP="007631AB">
      <w:pPr>
        <w:spacing w:line="480" w:lineRule="auto"/>
        <w:ind w:firstLine="720"/>
        <w:rPr>
          <w:rFonts w:ascii="Cambria" w:hAnsi="Cambria"/>
        </w:rPr>
      </w:pPr>
      <w:r>
        <w:t xml:space="preserve">Four – 20 </w:t>
      </w:r>
      <w:r>
        <w:rPr>
          <w:rFonts w:ascii="Cambria" w:hAnsi="Cambria"/>
        </w:rPr>
        <w:t xml:space="preserve">µl PCR reactions were completed with tissue 4 and both primer sets.  This amplification was expected to produce enough DNA to be used in cloning.  Two cocktails were made, one with FaQR1/FaQR3 and the other with FaQR2/FaQR3, and split amongst the 4 DNA reactions and the negative control, each containing: 30 µl tissue 4 DNA, 60 µl (2x) PCR mix, 4.8 µl </w:t>
      </w:r>
      <w:r w:rsidR="0025692B">
        <w:rPr>
          <w:rFonts w:ascii="Cambria" w:hAnsi="Cambria"/>
        </w:rPr>
        <w:t xml:space="preserve">(10 µM) </w:t>
      </w:r>
      <w:r>
        <w:rPr>
          <w:rFonts w:ascii="Cambria" w:hAnsi="Cambria"/>
        </w:rPr>
        <w:t xml:space="preserve">FaQR1/FaQR2, 4.8 µl </w:t>
      </w:r>
      <w:r w:rsidR="0025692B">
        <w:rPr>
          <w:rFonts w:ascii="Cambria" w:hAnsi="Cambria"/>
        </w:rPr>
        <w:t xml:space="preserve">(10 µM) </w:t>
      </w:r>
      <w:r>
        <w:rPr>
          <w:rFonts w:ascii="Cambria" w:hAnsi="Cambria"/>
        </w:rPr>
        <w:t>FaQR3 and 20.4 µl H</w:t>
      </w:r>
      <w:r w:rsidRPr="00296267">
        <w:rPr>
          <w:rFonts w:ascii="Cambria" w:hAnsi="Cambria"/>
          <w:vertAlign w:val="subscript"/>
        </w:rPr>
        <w:t>2</w:t>
      </w:r>
      <w:r>
        <w:rPr>
          <w:rFonts w:ascii="Cambria" w:hAnsi="Cambria"/>
        </w:rPr>
        <w:t xml:space="preserve">0. </w:t>
      </w:r>
      <w:r w:rsidR="003800A9">
        <w:rPr>
          <w:rFonts w:ascii="Cambria" w:hAnsi="Cambria"/>
        </w:rPr>
        <w:t xml:space="preserve"> </w:t>
      </w:r>
      <w:r>
        <w:rPr>
          <w:rFonts w:ascii="Cambria" w:hAnsi="Cambria"/>
        </w:rPr>
        <w:t xml:space="preserve">PCR products amplified with FaQR2/FaQR3 were </w:t>
      </w:r>
      <w:r w:rsidR="003800A9">
        <w:rPr>
          <w:rFonts w:ascii="Cambria" w:hAnsi="Cambria"/>
        </w:rPr>
        <w:t>run on a gel to be excised and gel extracted.</w:t>
      </w:r>
    </w:p>
    <w:p w:rsidR="007631AB" w:rsidRDefault="003800A9" w:rsidP="007631AB">
      <w:pPr>
        <w:spacing w:line="480" w:lineRule="auto"/>
        <w:ind w:firstLine="720"/>
        <w:rPr>
          <w:rFonts w:ascii="Cambria" w:hAnsi="Cambria"/>
        </w:rPr>
      </w:pPr>
      <w:r>
        <w:t xml:space="preserve">The FaQR2/FaQR3 PCR products have three bands at </w:t>
      </w:r>
      <w:r>
        <w:rPr>
          <w:rFonts w:ascii="Cambria" w:hAnsi="Cambria"/>
        </w:rPr>
        <w:t xml:space="preserve">~500, ~1500 and ~2000 </w:t>
      </w:r>
      <w:proofErr w:type="spellStart"/>
      <w:r>
        <w:rPr>
          <w:rFonts w:ascii="Cambria" w:hAnsi="Cambria"/>
        </w:rPr>
        <w:t>bp</w:t>
      </w:r>
      <w:proofErr w:type="spellEnd"/>
      <w:r>
        <w:rPr>
          <w:rFonts w:ascii="Cambria" w:hAnsi="Cambria"/>
        </w:rPr>
        <w:t xml:space="preserve">.  The ~1500 and the ~2000 nucleotide bands will be excised for gel extraction.  </w:t>
      </w:r>
      <w:r>
        <w:t xml:space="preserve">Both negative controls lacked bands, so primers themselves do not produce bands.  Positive control had a band at </w:t>
      </w:r>
      <w:r>
        <w:rPr>
          <w:rFonts w:ascii="Cambria" w:hAnsi="Cambria"/>
        </w:rPr>
        <w:t>~</w:t>
      </w:r>
      <w:r>
        <w:t xml:space="preserve">150 </w:t>
      </w:r>
      <w:proofErr w:type="spellStart"/>
      <w:r>
        <w:t>bp</w:t>
      </w:r>
      <w:proofErr w:type="spellEnd"/>
      <w:r>
        <w:t xml:space="preserve"> as expected.</w:t>
      </w:r>
    </w:p>
    <w:p w:rsidR="00EB1756" w:rsidRDefault="00EB1756" w:rsidP="00EB1756"/>
    <w:p w:rsidR="00715A3A" w:rsidRDefault="00715A3A" w:rsidP="00F70ACA">
      <w:pPr>
        <w:rPr>
          <w:b/>
        </w:rPr>
      </w:pPr>
    </w:p>
    <w:p w:rsidR="00F70ACA" w:rsidRDefault="00F70ACA" w:rsidP="00F70ACA">
      <w:pPr>
        <w:rPr>
          <w:b/>
        </w:rPr>
      </w:pPr>
    </w:p>
    <w:p w:rsidR="00543C1A" w:rsidRDefault="00443ECA" w:rsidP="00F70ACA">
      <w:pPr>
        <w:rPr>
          <w:b/>
        </w:rPr>
      </w:pPr>
      <w:r w:rsidRPr="00443ECA">
        <w:rPr>
          <w:b/>
          <w:noProof/>
        </w:rPr>
        <w:drawing>
          <wp:inline distT="0" distB="0" distL="0" distR="0">
            <wp:extent cx="3008822" cy="2700067"/>
            <wp:effectExtent l="19050" t="0" r="1078" b="0"/>
            <wp:docPr id="6"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507464" cy="4800600"/>
                      <a:chOff x="2133600" y="990600"/>
                      <a:chExt cx="4507464" cy="4800600"/>
                    </a:xfrm>
                  </a:grpSpPr>
                  <a:pic>
                    <a:nvPicPr>
                      <a:cNvPr id="2" name="Picture 4" descr="E:\img003.jpg"/>
                      <a:cNvPicPr>
                        <a:picLocks noChangeAspect="1" noChangeArrowheads="1"/>
                      </a:cNvPicPr>
                    </a:nvPicPr>
                    <a:blipFill>
                      <a:blip r:embed="rId10" cstate="print"/>
                      <a:srcRect r="19612"/>
                      <a:stretch>
                        <a:fillRect/>
                      </a:stretch>
                    </a:blipFill>
                    <a:spPr bwMode="auto">
                      <a:xfrm rot="16200000">
                        <a:off x="2596632" y="1746768"/>
                        <a:ext cx="3581400" cy="4507464"/>
                      </a:xfrm>
                      <a:prstGeom prst="rect">
                        <a:avLst/>
                      </a:prstGeom>
                      <a:noFill/>
                    </a:spPr>
                  </a:pic>
                  <a:sp>
                    <a:nvSpPr>
                      <a:cNvPr id="3" name="TextBox 2"/>
                      <a:cNvSpPr txBox="1"/>
                    </a:nvSpPr>
                    <a:spPr>
                      <a:xfrm>
                        <a:off x="3200400" y="1295400"/>
                        <a:ext cx="369332" cy="2514600"/>
                      </a:xfrm>
                      <a:prstGeom prst="rect">
                        <a:avLst/>
                      </a:prstGeom>
                      <a:noFill/>
                    </a:spPr>
                    <a:txSp>
                      <a:txBody>
                        <a:bodyPr vert="eaVert"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Pos. Control</a:t>
                          </a:r>
                        </a:p>
                      </a:txBody>
                      <a:useSpRect/>
                    </a:txSp>
                  </a:sp>
                  <a:sp>
                    <a:nvSpPr>
                      <a:cNvPr id="4" name="TextBox 3"/>
                      <a:cNvSpPr txBox="1"/>
                    </a:nvSpPr>
                    <a:spPr>
                      <a:xfrm>
                        <a:off x="3581400" y="1295400"/>
                        <a:ext cx="369332" cy="2514600"/>
                      </a:xfrm>
                      <a:prstGeom prst="rect">
                        <a:avLst/>
                      </a:prstGeom>
                      <a:noFill/>
                    </a:spPr>
                    <a:txSp>
                      <a:txBody>
                        <a:bodyPr vert="eaVert"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Neg. Control</a:t>
                          </a:r>
                        </a:p>
                      </a:txBody>
                      <a:useSpRect/>
                    </a:txSp>
                  </a:sp>
                  <a:sp>
                    <a:nvSpPr>
                      <a:cNvPr id="5" name="TextBox 4"/>
                      <a:cNvSpPr txBox="1"/>
                    </a:nvSpPr>
                    <a:spPr>
                      <a:xfrm>
                        <a:off x="4267200" y="990600"/>
                        <a:ext cx="400110" cy="1143000"/>
                      </a:xfrm>
                      <a:prstGeom prst="rect">
                        <a:avLst/>
                      </a:prstGeom>
                      <a:noFill/>
                    </a:spPr>
                    <a:txSp>
                      <a:txBody>
                        <a:bodyPr vert="vert"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200bp Marker</a:t>
                          </a:r>
                        </a:p>
                      </a:txBody>
                      <a:useSpRect/>
                    </a:txSp>
                  </a:sp>
                  <a:sp>
                    <a:nvSpPr>
                      <a:cNvPr id="6" name="TextBox 5"/>
                      <a:cNvSpPr txBox="1"/>
                    </a:nvSpPr>
                    <a:spPr>
                      <a:xfrm>
                        <a:off x="3962400" y="1828800"/>
                        <a:ext cx="400110" cy="685800"/>
                      </a:xfrm>
                      <a:prstGeom prst="rect">
                        <a:avLst/>
                      </a:prstGeom>
                      <a:noFill/>
                    </a:spPr>
                    <a:txSp>
                      <a:txBody>
                        <a:bodyPr vert="vert"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4B</a:t>
                          </a:r>
                          <a:endParaRPr lang="en-US" sz="1400" dirty="0"/>
                        </a:p>
                      </a:txBody>
                      <a:useSpRect/>
                    </a:txSp>
                  </a:sp>
                  <a:sp>
                    <a:nvSpPr>
                      <a:cNvPr id="7" name="TextBox 6"/>
                      <a:cNvSpPr txBox="1"/>
                    </a:nvSpPr>
                    <a:spPr>
                      <a:xfrm>
                        <a:off x="4572000" y="1828800"/>
                        <a:ext cx="400110" cy="685800"/>
                      </a:xfrm>
                      <a:prstGeom prst="rect">
                        <a:avLst/>
                      </a:prstGeom>
                      <a:noFill/>
                    </a:spPr>
                    <a:txSp>
                      <a:txBody>
                        <a:bodyPr vert="vert"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4A</a:t>
                          </a:r>
                          <a:endParaRPr lang="en-US" sz="1400" dirty="0"/>
                        </a:p>
                      </a:txBody>
                      <a:useSpRect/>
                    </a:txSp>
                  </a:sp>
                  <a:sp>
                    <a:nvSpPr>
                      <a:cNvPr id="8" name="TextBox 7"/>
                      <a:cNvSpPr txBox="1"/>
                    </a:nvSpPr>
                    <a:spPr>
                      <a:xfrm>
                        <a:off x="5029200" y="1295400"/>
                        <a:ext cx="369332" cy="2514600"/>
                      </a:xfrm>
                      <a:prstGeom prst="rect">
                        <a:avLst/>
                      </a:prstGeom>
                      <a:noFill/>
                    </a:spPr>
                    <a:txSp>
                      <a:txBody>
                        <a:bodyPr vert="eaVert"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Neg. Control</a:t>
                          </a:r>
                        </a:p>
                      </a:txBody>
                      <a:useSpRect/>
                    </a:txSp>
                  </a:sp>
                </lc:lockedCanvas>
              </a:graphicData>
            </a:graphic>
          </wp:inline>
        </w:drawing>
      </w:r>
    </w:p>
    <w:p w:rsidR="00F4234B" w:rsidRDefault="00741B5F" w:rsidP="00F70ACA">
      <w:r>
        <w:rPr>
          <w:b/>
        </w:rPr>
        <w:t>Figure</w:t>
      </w:r>
      <w:r w:rsidR="00F70ACA">
        <w:rPr>
          <w:b/>
        </w:rPr>
        <w:t xml:space="preserve"> 6</w:t>
      </w:r>
      <w:r>
        <w:rPr>
          <w:b/>
        </w:rPr>
        <w:t xml:space="preserve">. </w:t>
      </w:r>
      <w:r w:rsidR="003800A9">
        <w:t>PCR results of FaQR2/FaQR3.</w:t>
      </w:r>
    </w:p>
    <w:p w:rsidR="003800A9" w:rsidRDefault="003800A9" w:rsidP="00F70ACA"/>
    <w:p w:rsidR="003800A9" w:rsidRDefault="003800A9" w:rsidP="00F70ACA"/>
    <w:p w:rsidR="003800A9" w:rsidRPr="003800A9" w:rsidRDefault="003800A9" w:rsidP="003800A9">
      <w:pPr>
        <w:spacing w:line="480" w:lineRule="auto"/>
        <w:ind w:firstLine="720"/>
      </w:pPr>
      <w:r>
        <w:rPr>
          <w:rFonts w:ascii="Cambria" w:hAnsi="Cambria"/>
        </w:rPr>
        <w:t xml:space="preserve">FaQR2/FaQR3 DNA was extracted with a QIAGEN </w:t>
      </w:r>
      <w:proofErr w:type="spellStart"/>
      <w:r>
        <w:rPr>
          <w:rFonts w:ascii="Cambria" w:hAnsi="Cambria"/>
        </w:rPr>
        <w:t>QIAQuick</w:t>
      </w:r>
      <w:proofErr w:type="spellEnd"/>
      <w:r>
        <w:rPr>
          <w:rFonts w:ascii="Cambria" w:hAnsi="Cambria"/>
        </w:rPr>
        <w:t xml:space="preserve"> Gel Extraction Kit.  Solution was yellow on step 4, so no sodium acetate was added.  0.8 ml buffer QG was used instead 0.5 ml on step 8.  On step 9, the column was washed a second time with buffer PE.  After first wash, the group noticed it was recommended to let column stand for 2-5 minutes if using for ligation.  Samples obtained from gel extraction were labeled C and D.</w:t>
      </w:r>
    </w:p>
    <w:p w:rsidR="003800A9" w:rsidRDefault="003800A9" w:rsidP="003800A9">
      <w:pPr>
        <w:spacing w:line="480" w:lineRule="auto"/>
        <w:ind w:firstLine="720"/>
        <w:rPr>
          <w:rFonts w:ascii="Cambria" w:hAnsi="Cambria"/>
        </w:rPr>
      </w:pPr>
      <w:r>
        <w:rPr>
          <w:rFonts w:ascii="Cambria" w:hAnsi="Cambria"/>
        </w:rPr>
        <w:t xml:space="preserve">The gel extraction products and PCR purification products were run an </w:t>
      </w:r>
      <w:proofErr w:type="spellStart"/>
      <w:r>
        <w:rPr>
          <w:rFonts w:ascii="Cambria" w:hAnsi="Cambria"/>
        </w:rPr>
        <w:t>agarose</w:t>
      </w:r>
      <w:proofErr w:type="spellEnd"/>
      <w:r>
        <w:rPr>
          <w:rFonts w:ascii="Cambria" w:hAnsi="Cambria"/>
        </w:rPr>
        <w:t xml:space="preserve"> gel (Figure 7) to ensure DNA was not lost through purifications.  If not, the DNA could be used for cloning.  Bands were present for products A and B </w:t>
      </w:r>
      <w:r>
        <w:t xml:space="preserve">at about </w:t>
      </w:r>
      <w:r>
        <w:rPr>
          <w:rFonts w:ascii="Cambria" w:hAnsi="Cambria"/>
        </w:rPr>
        <w:t xml:space="preserve">~1700 </w:t>
      </w:r>
      <w:proofErr w:type="spellStart"/>
      <w:r>
        <w:rPr>
          <w:rFonts w:ascii="Cambria" w:hAnsi="Cambria"/>
        </w:rPr>
        <w:t>bp</w:t>
      </w:r>
      <w:proofErr w:type="spellEnd"/>
      <w:r>
        <w:rPr>
          <w:rFonts w:ascii="Cambria" w:hAnsi="Cambria"/>
        </w:rPr>
        <w:t xml:space="preserve"> as expected, and absent for products C and D, therefore A and B were used in ligation.  C and D were re-amplified</w:t>
      </w:r>
      <w:r w:rsidR="00F4234B">
        <w:rPr>
          <w:rFonts w:ascii="Cambria" w:hAnsi="Cambria"/>
        </w:rPr>
        <w:t xml:space="preserve"> (Figure 8)</w:t>
      </w:r>
      <w:r>
        <w:rPr>
          <w:rFonts w:ascii="Cambria" w:hAnsi="Cambria"/>
        </w:rPr>
        <w:t xml:space="preserve">, run a gel, gel extracted and run again on a gel.  DNA was once again lost through gel extraction.  The group discarded these samples and continued with samples A and B. </w:t>
      </w:r>
    </w:p>
    <w:p w:rsidR="00F70ACA" w:rsidRDefault="00F70ACA" w:rsidP="00F70ACA">
      <w:pPr>
        <w:rPr>
          <w:b/>
        </w:rPr>
      </w:pPr>
    </w:p>
    <w:p w:rsidR="00F70ACA" w:rsidRDefault="00F70ACA" w:rsidP="00F70ACA">
      <w:pPr>
        <w:rPr>
          <w:b/>
        </w:rPr>
      </w:pPr>
    </w:p>
    <w:p w:rsidR="00F70ACA" w:rsidRDefault="002E5ACA" w:rsidP="002E5ACA">
      <w:pPr>
        <w:rPr>
          <w:b/>
        </w:rPr>
      </w:pPr>
      <w:r w:rsidRPr="002E5ACA">
        <w:rPr>
          <w:noProof/>
        </w:rPr>
        <w:drawing>
          <wp:inline distT="0" distB="0" distL="0" distR="0">
            <wp:extent cx="3707562" cy="2656936"/>
            <wp:effectExtent l="19050" t="0" r="0" b="0"/>
            <wp:docPr id="15"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715000" cy="3675221"/>
                      <a:chOff x="2133600" y="1905000"/>
                      <a:chExt cx="5715000" cy="3675221"/>
                    </a:xfrm>
                  </a:grpSpPr>
                  <a:pic>
                    <a:nvPicPr>
                      <a:cNvPr id="4" name="Picture 3" descr="!STRAWBE.RR3"/>
                      <a:cNvPicPr/>
                    </a:nvPicPr>
                    <a:blipFill>
                      <a:blip r:embed="rId11"/>
                      <a:stretch>
                        <a:fillRect/>
                      </a:stretch>
                    </a:blipFill>
                    <a:spPr>
                      <a:xfrm>
                        <a:off x="2133600" y="2971800"/>
                        <a:ext cx="3503295" cy="2608421"/>
                      </a:xfrm>
                      <a:prstGeom prst="rect">
                        <a:avLst/>
                      </a:prstGeom>
                    </a:spPr>
                  </a:pic>
                  <a:sp>
                    <a:nvSpPr>
                      <a:cNvPr id="5" name="TextBox 4"/>
                      <a:cNvSpPr txBox="1"/>
                    </a:nvSpPr>
                    <a:spPr>
                      <a:xfrm>
                        <a:off x="2438400" y="1905000"/>
                        <a:ext cx="369332" cy="1295400"/>
                      </a:xfrm>
                      <a:prstGeom prst="rect">
                        <a:avLst/>
                      </a:prstGeom>
                      <a:noFill/>
                    </a:spPr>
                    <a:txSp>
                      <a:txBody>
                        <a:bodyPr vert="eaVert"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200 </a:t>
                          </a:r>
                          <a:r>
                            <a:rPr lang="en-US" sz="1200" dirty="0" err="1" smtClean="0"/>
                            <a:t>bp</a:t>
                          </a:r>
                          <a:r>
                            <a:rPr lang="en-US" sz="1200" dirty="0" smtClean="0"/>
                            <a:t> Marker</a:t>
                          </a:r>
                          <a:endParaRPr lang="en-US" sz="1200" dirty="0"/>
                        </a:p>
                      </a:txBody>
                      <a:useSpRect/>
                    </a:txSp>
                  </a:sp>
                  <a:sp>
                    <a:nvSpPr>
                      <a:cNvPr id="6" name="TextBox 5"/>
                      <a:cNvSpPr txBox="1"/>
                    </a:nvSpPr>
                    <a:spPr>
                      <a:xfrm>
                        <a:off x="3429000" y="2743200"/>
                        <a:ext cx="369332" cy="1066800"/>
                      </a:xfrm>
                      <a:prstGeom prst="rect">
                        <a:avLst/>
                      </a:prstGeom>
                      <a:noFill/>
                    </a:spPr>
                    <a:txSp>
                      <a:txBody>
                        <a:bodyPr vert="eaVert"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C</a:t>
                          </a:r>
                          <a:endParaRPr lang="en-US" sz="1200" dirty="0"/>
                        </a:p>
                      </a:txBody>
                      <a:useSpRect/>
                    </a:txSp>
                  </a:sp>
                  <a:sp>
                    <a:nvSpPr>
                      <a:cNvPr id="7" name="TextBox 6"/>
                      <a:cNvSpPr txBox="1"/>
                    </a:nvSpPr>
                    <a:spPr>
                      <a:xfrm>
                        <a:off x="3733800" y="2286000"/>
                        <a:ext cx="369332" cy="1219200"/>
                      </a:xfrm>
                      <a:prstGeom prst="rect">
                        <a:avLst/>
                      </a:prstGeom>
                      <a:noFill/>
                    </a:spPr>
                    <a:txSp>
                      <a:txBody>
                        <a:bodyPr vert="eaVert"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Fast Ruler</a:t>
                          </a:r>
                          <a:endParaRPr lang="en-US" sz="1200" dirty="0"/>
                        </a:p>
                      </a:txBody>
                      <a:useSpRect/>
                    </a:txSp>
                  </a:sp>
                  <a:sp>
                    <a:nvSpPr>
                      <a:cNvPr id="8" name="TextBox 7"/>
                      <a:cNvSpPr txBox="1"/>
                    </a:nvSpPr>
                    <a:spPr>
                      <a:xfrm>
                        <a:off x="4724400" y="2743200"/>
                        <a:ext cx="369332" cy="914400"/>
                      </a:xfrm>
                      <a:prstGeom prst="rect">
                        <a:avLst/>
                      </a:prstGeom>
                      <a:noFill/>
                    </a:spPr>
                    <a:txSp>
                      <a:txBody>
                        <a:bodyPr vert="eaVert"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A</a:t>
                          </a:r>
                          <a:endParaRPr lang="en-US" sz="1200" dirty="0"/>
                        </a:p>
                      </a:txBody>
                      <a:useSpRect/>
                    </a:txSp>
                  </a:sp>
                  <a:sp>
                    <a:nvSpPr>
                      <a:cNvPr id="9" name="TextBox 8"/>
                      <a:cNvSpPr txBox="1"/>
                    </a:nvSpPr>
                    <a:spPr>
                      <a:xfrm>
                        <a:off x="4191000" y="2743200"/>
                        <a:ext cx="369332" cy="838200"/>
                      </a:xfrm>
                      <a:prstGeom prst="rect">
                        <a:avLst/>
                      </a:prstGeom>
                      <a:noFill/>
                    </a:spPr>
                    <a:txSp>
                      <a:txBody>
                        <a:bodyPr vert="eaVert"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B</a:t>
                          </a:r>
                          <a:endParaRPr lang="en-US" sz="1200" dirty="0"/>
                        </a:p>
                      </a:txBody>
                      <a:useSpRect/>
                    </a:txSp>
                  </a:sp>
                  <a:sp>
                    <a:nvSpPr>
                      <a:cNvPr id="10" name="TextBox 9"/>
                      <a:cNvSpPr txBox="1"/>
                    </a:nvSpPr>
                    <a:spPr>
                      <a:xfrm>
                        <a:off x="3200400" y="2286000"/>
                        <a:ext cx="369332" cy="1219200"/>
                      </a:xfrm>
                      <a:prstGeom prst="rect">
                        <a:avLst/>
                      </a:prstGeom>
                      <a:noFill/>
                    </a:spPr>
                    <a:txSp>
                      <a:txBody>
                        <a:bodyPr vert="eaVert"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Fast Ruler</a:t>
                          </a:r>
                          <a:endParaRPr lang="en-US" sz="1200" dirty="0"/>
                        </a:p>
                      </a:txBody>
                      <a:useSpRect/>
                    </a:txSp>
                  </a:sp>
                  <a:sp>
                    <a:nvSpPr>
                      <a:cNvPr id="11" name="TextBox 10"/>
                      <a:cNvSpPr txBox="1"/>
                    </a:nvSpPr>
                    <a:spPr>
                      <a:xfrm>
                        <a:off x="2819400" y="2743200"/>
                        <a:ext cx="369332" cy="762000"/>
                      </a:xfrm>
                      <a:prstGeom prst="rect">
                        <a:avLst/>
                      </a:prstGeom>
                      <a:noFill/>
                    </a:spPr>
                    <a:txSp>
                      <a:txBody>
                        <a:bodyPr vert="eaVert"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D</a:t>
                          </a:r>
                          <a:endParaRPr lang="en-US" sz="1200" dirty="0"/>
                        </a:p>
                      </a:txBody>
                      <a:useSpRect/>
                    </a:txSp>
                  </a:sp>
                  <a:sp>
                    <a:nvSpPr>
                      <a:cNvPr id="12" name="TextBox 11"/>
                      <a:cNvSpPr txBox="1"/>
                    </a:nvSpPr>
                    <a:spPr>
                      <a:xfrm>
                        <a:off x="5638800" y="3429000"/>
                        <a:ext cx="2209800" cy="27699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b="1" dirty="0" smtClean="0"/>
                            <a:t>1700-1800 </a:t>
                          </a:r>
                          <a:r>
                            <a:rPr lang="en-US" sz="1200" b="1" dirty="0" err="1" smtClean="0"/>
                            <a:t>bp</a:t>
                          </a:r>
                          <a:endParaRPr lang="en-US" sz="1200" b="1" dirty="0"/>
                        </a:p>
                      </a:txBody>
                      <a:useSpRect/>
                    </a:txSp>
                  </a:sp>
                  <a:cxnSp>
                    <a:nvCxnSpPr>
                      <a:cNvPr id="16" name="Straight Arrow Connector 15"/>
                      <a:cNvCxnSpPr>
                        <a:stCxn id="12" idx="1"/>
                      </a:cNvCxnSpPr>
                    </a:nvCxnSpPr>
                    <a:spPr>
                      <a:xfrm rot="10800000" flipV="1">
                        <a:off x="5105400" y="3567500"/>
                        <a:ext cx="533400" cy="13900"/>
                      </a:xfrm>
                      <a:prstGeom prst="straightConnector1">
                        <a:avLst/>
                      </a:prstGeom>
                      <a:ln>
                        <a:solidFill>
                          <a:schemeClr val="bg1"/>
                        </a:solidFill>
                        <a:tailEnd type="arrow"/>
                      </a:ln>
                    </a:spPr>
                    <a:style>
                      <a:lnRef idx="2">
                        <a:schemeClr val="dk1"/>
                      </a:lnRef>
                      <a:fillRef idx="0">
                        <a:schemeClr val="dk1"/>
                      </a:fillRef>
                      <a:effectRef idx="1">
                        <a:schemeClr val="dk1"/>
                      </a:effectRef>
                      <a:fontRef idx="minor">
                        <a:schemeClr val="tx1"/>
                      </a:fontRef>
                    </a:style>
                  </a:cxnSp>
                </lc:lockedCanvas>
              </a:graphicData>
            </a:graphic>
          </wp:inline>
        </w:drawing>
      </w:r>
      <w:r w:rsidR="00F70ACA" w:rsidRPr="00F70ACA">
        <w:rPr>
          <w:b/>
        </w:rPr>
        <w:t xml:space="preserve"> </w:t>
      </w:r>
    </w:p>
    <w:p w:rsidR="00F70ACA" w:rsidRDefault="00F70ACA" w:rsidP="00F70ACA">
      <w:pPr>
        <w:rPr>
          <w:rFonts w:ascii="Cambria" w:hAnsi="Cambria"/>
        </w:rPr>
      </w:pPr>
      <w:r>
        <w:rPr>
          <w:b/>
        </w:rPr>
        <w:t>Figure</w:t>
      </w:r>
      <w:r w:rsidR="003800A9">
        <w:rPr>
          <w:b/>
        </w:rPr>
        <w:t xml:space="preserve"> </w:t>
      </w:r>
      <w:r>
        <w:rPr>
          <w:b/>
        </w:rPr>
        <w:t xml:space="preserve">7.  </w:t>
      </w:r>
      <w:proofErr w:type="gramStart"/>
      <w:r>
        <w:t xml:space="preserve">Results of </w:t>
      </w:r>
      <w:proofErr w:type="spellStart"/>
      <w:r>
        <w:t>QlAquick</w:t>
      </w:r>
      <w:proofErr w:type="spellEnd"/>
      <w:r>
        <w:t xml:space="preserve"> Column Purification of FaQR1/FAQR2 (A and B) and first gel extrac</w:t>
      </w:r>
      <w:r w:rsidR="003800A9">
        <w:t>tion of FaQR2/FaQR3 (C and D).</w:t>
      </w:r>
      <w:proofErr w:type="gramEnd"/>
    </w:p>
    <w:p w:rsidR="00F70ACA" w:rsidRDefault="00F70ACA" w:rsidP="00F70ACA">
      <w:pPr>
        <w:rPr>
          <w:b/>
        </w:rPr>
      </w:pPr>
    </w:p>
    <w:p w:rsidR="00543C1A" w:rsidRDefault="00543C1A" w:rsidP="00F70ACA">
      <w:pPr>
        <w:rPr>
          <w:b/>
        </w:rPr>
      </w:pPr>
      <w:r w:rsidRPr="00543C1A">
        <w:rPr>
          <w:b/>
          <w:noProof/>
        </w:rPr>
        <w:drawing>
          <wp:inline distT="0" distB="0" distL="0" distR="0">
            <wp:extent cx="3661410" cy="2644140"/>
            <wp:effectExtent l="19050" t="0" r="0" b="0"/>
            <wp:docPr id="3"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410200" cy="4191700"/>
                      <a:chOff x="2819400" y="1600200"/>
                      <a:chExt cx="5410200" cy="4191700"/>
                    </a:xfrm>
                  </a:grpSpPr>
                  <a:pic>
                    <a:nvPicPr>
                      <a:cNvPr id="1027" name="Picture 3" descr="E:\img002.jpg"/>
                      <a:cNvPicPr>
                        <a:picLocks noChangeAspect="1" noChangeArrowheads="1"/>
                      </a:cNvPicPr>
                    </a:nvPicPr>
                    <a:blipFill>
                      <a:blip r:embed="rId12" cstate="print"/>
                      <a:srcRect l="35038" t="65037" b="8741"/>
                      <a:stretch>
                        <a:fillRect/>
                      </a:stretch>
                    </a:blipFill>
                    <a:spPr bwMode="auto">
                      <a:xfrm rot="5400000">
                        <a:off x="3123850" y="2591150"/>
                        <a:ext cx="2896300" cy="3505200"/>
                      </a:xfrm>
                      <a:prstGeom prst="rect">
                        <a:avLst/>
                      </a:prstGeom>
                      <a:noFill/>
                    </a:spPr>
                  </a:pic>
                  <a:sp>
                    <a:nvSpPr>
                      <a:cNvPr id="6" name="TextBox 5"/>
                      <a:cNvSpPr txBox="1"/>
                    </a:nvSpPr>
                    <a:spPr>
                      <a:xfrm>
                        <a:off x="4084022" y="2590800"/>
                        <a:ext cx="400110" cy="685800"/>
                      </a:xfrm>
                      <a:prstGeom prst="rect">
                        <a:avLst/>
                      </a:prstGeom>
                      <a:noFill/>
                    </a:spPr>
                    <a:txSp>
                      <a:txBody>
                        <a:bodyPr vert="vert"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1</a:t>
                          </a:r>
                          <a:endParaRPr lang="en-US" sz="1400" dirty="0"/>
                        </a:p>
                      </a:txBody>
                      <a:useSpRect/>
                    </a:txSp>
                  </a:sp>
                  <a:sp>
                    <a:nvSpPr>
                      <a:cNvPr id="7" name="TextBox 6"/>
                      <a:cNvSpPr txBox="1"/>
                    </a:nvSpPr>
                    <a:spPr>
                      <a:xfrm>
                        <a:off x="4312622" y="2590800"/>
                        <a:ext cx="400110" cy="685800"/>
                      </a:xfrm>
                      <a:prstGeom prst="rect">
                        <a:avLst/>
                      </a:prstGeom>
                      <a:noFill/>
                    </a:spPr>
                    <a:txSp>
                      <a:txBody>
                        <a:bodyPr vert="vert"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2</a:t>
                          </a:r>
                          <a:endParaRPr lang="en-US" sz="1400" dirty="0"/>
                        </a:p>
                      </a:txBody>
                      <a:useSpRect/>
                    </a:txSp>
                  </a:sp>
                  <a:sp>
                    <a:nvSpPr>
                      <a:cNvPr id="8" name="TextBox 7"/>
                      <a:cNvSpPr txBox="1"/>
                    </a:nvSpPr>
                    <a:spPr>
                      <a:xfrm>
                        <a:off x="4541222" y="2590800"/>
                        <a:ext cx="400110" cy="685800"/>
                      </a:xfrm>
                      <a:prstGeom prst="rect">
                        <a:avLst/>
                      </a:prstGeom>
                      <a:noFill/>
                    </a:spPr>
                    <a:txSp>
                      <a:txBody>
                        <a:bodyPr vert="vert"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3</a:t>
                          </a:r>
                          <a:endParaRPr lang="en-US" sz="1400" dirty="0"/>
                        </a:p>
                      </a:txBody>
                      <a:useSpRect/>
                    </a:txSp>
                  </a:sp>
                  <a:sp>
                    <a:nvSpPr>
                      <a:cNvPr id="9" name="TextBox 8"/>
                      <a:cNvSpPr txBox="1"/>
                    </a:nvSpPr>
                    <a:spPr>
                      <a:xfrm>
                        <a:off x="4769822" y="2590800"/>
                        <a:ext cx="400110" cy="685800"/>
                      </a:xfrm>
                      <a:prstGeom prst="rect">
                        <a:avLst/>
                      </a:prstGeom>
                      <a:noFill/>
                    </a:spPr>
                    <a:txSp>
                      <a:txBody>
                        <a:bodyPr vert="vert"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4</a:t>
                          </a:r>
                          <a:endParaRPr lang="en-US" sz="1400" dirty="0"/>
                        </a:p>
                      </a:txBody>
                      <a:useSpRect/>
                    </a:txSp>
                  </a:sp>
                  <a:sp>
                    <a:nvSpPr>
                      <a:cNvPr id="10" name="TextBox 9"/>
                      <a:cNvSpPr txBox="1"/>
                    </a:nvSpPr>
                    <a:spPr>
                      <a:xfrm>
                        <a:off x="5029200" y="1600200"/>
                        <a:ext cx="400110" cy="1295400"/>
                      </a:xfrm>
                      <a:prstGeom prst="rect">
                        <a:avLst/>
                      </a:prstGeom>
                      <a:noFill/>
                    </a:spPr>
                    <a:txSp>
                      <a:txBody>
                        <a:bodyPr vert="vert"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200bp Marker</a:t>
                          </a:r>
                          <a:endParaRPr lang="en-US" sz="1400" dirty="0"/>
                        </a:p>
                      </a:txBody>
                      <a:useSpRect/>
                    </a:txSp>
                  </a:sp>
                  <a:sp>
                    <a:nvSpPr>
                      <a:cNvPr id="11" name="TextBox 10"/>
                      <a:cNvSpPr txBox="1"/>
                    </a:nvSpPr>
                    <a:spPr>
                      <a:xfrm>
                        <a:off x="3886200" y="1600200"/>
                        <a:ext cx="400110" cy="1447800"/>
                      </a:xfrm>
                      <a:prstGeom prst="rect">
                        <a:avLst/>
                      </a:prstGeom>
                      <a:noFill/>
                    </a:spPr>
                    <a:txSp>
                      <a:txBody>
                        <a:bodyPr vert="vert"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200bp Marker</a:t>
                          </a:r>
                          <a:endParaRPr lang="en-US" sz="1400" dirty="0"/>
                        </a:p>
                      </a:txBody>
                      <a:useSpRect/>
                    </a:txSp>
                  </a:sp>
                  <a:cxnSp>
                    <a:nvCxnSpPr>
                      <a:cNvPr id="12" name="Straight Arrow Connector 11"/>
                      <a:cNvCxnSpPr/>
                    </a:nvCxnSpPr>
                    <a:spPr>
                      <a:xfrm rot="10800000">
                        <a:off x="5334000" y="3962400"/>
                        <a:ext cx="1143000" cy="1588"/>
                      </a:xfrm>
                      <a:prstGeom prst="straightConnector1">
                        <a:avLst/>
                      </a:prstGeom>
                      <a:ln>
                        <a:solidFill>
                          <a:schemeClr val="bg1"/>
                        </a:solidFill>
                        <a:tailEnd type="arrow"/>
                      </a:ln>
                    </a:spPr>
                    <a:style>
                      <a:lnRef idx="3">
                        <a:schemeClr val="dk1"/>
                      </a:lnRef>
                      <a:fillRef idx="0">
                        <a:schemeClr val="dk1"/>
                      </a:fillRef>
                      <a:effectRef idx="2">
                        <a:schemeClr val="dk1"/>
                      </a:effectRef>
                      <a:fontRef idx="minor">
                        <a:schemeClr val="tx1"/>
                      </a:fontRef>
                    </a:style>
                  </a:cxnSp>
                  <a:cxnSp>
                    <a:nvCxnSpPr>
                      <a:cNvPr id="15" name="Straight Arrow Connector 14"/>
                      <a:cNvCxnSpPr/>
                    </a:nvCxnSpPr>
                    <a:spPr>
                      <a:xfrm rot="10800000">
                        <a:off x="5334000" y="3657600"/>
                        <a:ext cx="1219200" cy="1588"/>
                      </a:xfrm>
                      <a:prstGeom prst="straightConnector1">
                        <a:avLst/>
                      </a:prstGeom>
                      <a:ln>
                        <a:solidFill>
                          <a:schemeClr val="bg1"/>
                        </a:solidFill>
                        <a:tailEnd type="arrow"/>
                      </a:ln>
                    </a:spPr>
                    <a:style>
                      <a:lnRef idx="3">
                        <a:schemeClr val="dk1"/>
                      </a:lnRef>
                      <a:fillRef idx="0">
                        <a:schemeClr val="dk1"/>
                      </a:fillRef>
                      <a:effectRef idx="2">
                        <a:schemeClr val="dk1"/>
                      </a:effectRef>
                      <a:fontRef idx="minor">
                        <a:schemeClr val="tx1"/>
                      </a:fontRef>
                    </a:style>
                  </a:cxnSp>
                  <a:sp>
                    <a:nvSpPr>
                      <a:cNvPr id="17" name="TextBox 16"/>
                      <a:cNvSpPr txBox="1"/>
                    </a:nvSpPr>
                    <a:spPr>
                      <a:xfrm>
                        <a:off x="6400800" y="3505200"/>
                        <a:ext cx="1828800" cy="27699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a:t>2</a:t>
                          </a:r>
                          <a:r>
                            <a:rPr lang="en-US" sz="1200" dirty="0" smtClean="0"/>
                            <a:t>000bp</a:t>
                          </a:r>
                          <a:endParaRPr lang="en-US" sz="1200" dirty="0"/>
                        </a:p>
                      </a:txBody>
                      <a:useSpRect/>
                    </a:txSp>
                  </a:sp>
                  <a:sp>
                    <a:nvSpPr>
                      <a:cNvPr id="18" name="TextBox 17"/>
                      <a:cNvSpPr txBox="1"/>
                    </a:nvSpPr>
                    <a:spPr>
                      <a:xfrm>
                        <a:off x="6400800" y="3886200"/>
                        <a:ext cx="1600200" cy="27699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1000bp</a:t>
                          </a:r>
                          <a:endParaRPr lang="en-US" sz="1200" dirty="0"/>
                        </a:p>
                      </a:txBody>
                      <a:useSpRect/>
                    </a:txSp>
                  </a:sp>
                  <a:sp>
                    <a:nvSpPr>
                      <a:cNvPr id="21" name="TextBox 20"/>
                      <a:cNvSpPr txBox="1"/>
                    </a:nvSpPr>
                    <a:spPr>
                      <a:xfrm>
                        <a:off x="3657600" y="1905000"/>
                        <a:ext cx="369332" cy="1981200"/>
                      </a:xfrm>
                      <a:prstGeom prst="rect">
                        <a:avLst/>
                      </a:prstGeom>
                      <a:noFill/>
                    </a:spPr>
                    <a:txSp>
                      <a:txBody>
                        <a:bodyPr vert="eaVert"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Pos. Control</a:t>
                          </a:r>
                        </a:p>
                      </a:txBody>
                      <a:useSpRect/>
                    </a:txSp>
                  </a:sp>
                  <a:sp>
                    <a:nvSpPr>
                      <a:cNvPr id="22" name="TextBox 21"/>
                      <a:cNvSpPr txBox="1"/>
                    </a:nvSpPr>
                    <a:spPr>
                      <a:xfrm>
                        <a:off x="3429000" y="1905000"/>
                        <a:ext cx="369332" cy="2514600"/>
                      </a:xfrm>
                      <a:prstGeom prst="rect">
                        <a:avLst/>
                      </a:prstGeom>
                      <a:noFill/>
                    </a:spPr>
                    <a:txSp>
                      <a:txBody>
                        <a:bodyPr vert="eaVert"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Neg</a:t>
                          </a:r>
                          <a:r>
                            <a:rPr lang="en-US" sz="1200" dirty="0" smtClean="0"/>
                            <a:t>. </a:t>
                          </a:r>
                          <a:r>
                            <a:rPr lang="en-US" sz="1200" dirty="0" smtClean="0"/>
                            <a:t>Control</a:t>
                          </a:r>
                        </a:p>
                      </a:txBody>
                      <a:useSpRect/>
                    </a:txSp>
                  </a:sp>
                </lc:lockedCanvas>
              </a:graphicData>
            </a:graphic>
          </wp:inline>
        </w:drawing>
      </w:r>
    </w:p>
    <w:p w:rsidR="00F4234B" w:rsidRDefault="00A76F49" w:rsidP="00F70ACA">
      <w:pPr>
        <w:rPr>
          <w:rFonts w:ascii="Cambria" w:hAnsi="Cambria"/>
        </w:rPr>
      </w:pPr>
      <w:r>
        <w:rPr>
          <w:rFonts w:ascii="Cambria" w:hAnsi="Cambria"/>
          <w:b/>
        </w:rPr>
        <w:t>Figure</w:t>
      </w:r>
      <w:r w:rsidR="002747EE">
        <w:rPr>
          <w:rFonts w:ascii="Cambria" w:hAnsi="Cambria"/>
          <w:b/>
        </w:rPr>
        <w:t xml:space="preserve"> 8</w:t>
      </w:r>
      <w:r>
        <w:rPr>
          <w:rFonts w:ascii="Cambria" w:hAnsi="Cambria"/>
          <w:b/>
        </w:rPr>
        <w:t xml:space="preserve">.  </w:t>
      </w:r>
      <w:proofErr w:type="gramStart"/>
      <w:r>
        <w:rPr>
          <w:rFonts w:ascii="Cambria" w:hAnsi="Cambria"/>
        </w:rPr>
        <w:t>Amplification of Tissue 4 with FaQR2/FaQR3 primer pair.</w:t>
      </w:r>
      <w:proofErr w:type="gramEnd"/>
      <w:r>
        <w:rPr>
          <w:rFonts w:ascii="Cambria" w:hAnsi="Cambria"/>
        </w:rPr>
        <w:t xml:space="preserve"> </w:t>
      </w:r>
    </w:p>
    <w:p w:rsidR="003800A9" w:rsidRDefault="003800A9" w:rsidP="00F70ACA">
      <w:pPr>
        <w:rPr>
          <w:rFonts w:ascii="Cambria" w:hAnsi="Cambria"/>
        </w:rPr>
      </w:pPr>
    </w:p>
    <w:p w:rsidR="003800A9" w:rsidRDefault="003800A9" w:rsidP="00F70ACA">
      <w:pPr>
        <w:rPr>
          <w:rFonts w:ascii="Cambria" w:hAnsi="Cambria"/>
        </w:rPr>
      </w:pPr>
    </w:p>
    <w:p w:rsidR="0025692B" w:rsidRDefault="003800A9" w:rsidP="003800A9">
      <w:pPr>
        <w:spacing w:line="480" w:lineRule="auto"/>
        <w:ind w:firstLine="720"/>
        <w:rPr>
          <w:rFonts w:ascii="Cambria" w:hAnsi="Cambria"/>
        </w:rPr>
      </w:pPr>
      <w:r>
        <w:rPr>
          <w:rFonts w:ascii="Cambria" w:hAnsi="Cambria"/>
        </w:rPr>
        <w:t xml:space="preserve">Once </w:t>
      </w:r>
      <w:proofErr w:type="spellStart"/>
      <w:r>
        <w:rPr>
          <w:rFonts w:ascii="Cambria" w:hAnsi="Cambria"/>
        </w:rPr>
        <w:t>ligated</w:t>
      </w:r>
      <w:proofErr w:type="spellEnd"/>
      <w:r>
        <w:rPr>
          <w:rFonts w:ascii="Cambria" w:hAnsi="Cambria"/>
        </w:rPr>
        <w:t xml:space="preserve">, the FaQR1/FaQR3 fragment would be transformed into </w:t>
      </w:r>
      <w:r>
        <w:rPr>
          <w:rFonts w:ascii="Cambria" w:hAnsi="Cambria"/>
          <w:i/>
        </w:rPr>
        <w:t xml:space="preserve">E. coli </w:t>
      </w:r>
      <w:r>
        <w:rPr>
          <w:rFonts w:ascii="Cambria" w:hAnsi="Cambria"/>
        </w:rPr>
        <w:t>and the gene would be able to be retrieved from bacteria. Three total ligations, A, B and X, were completed with a DNA concentration of 3 µl.  The reactions were mixed (</w:t>
      </w:r>
      <w:r w:rsidRPr="00DE033B">
        <w:rPr>
          <w:rFonts w:ascii="Cambria" w:hAnsi="Cambria"/>
        </w:rPr>
        <w:t>Table</w:t>
      </w:r>
      <w:r w:rsidR="0025692B">
        <w:rPr>
          <w:rFonts w:ascii="Cambria" w:hAnsi="Cambria"/>
        </w:rPr>
        <w:t xml:space="preserve"> 4</w:t>
      </w:r>
      <w:r w:rsidRPr="00AC66F8">
        <w:rPr>
          <w:rFonts w:ascii="Cambria" w:hAnsi="Cambria"/>
        </w:rPr>
        <w:t>)</w:t>
      </w:r>
      <w:r>
        <w:rPr>
          <w:rFonts w:ascii="Cambria" w:hAnsi="Cambria"/>
        </w:rPr>
        <w:t xml:space="preserve"> and incubated at room temperature for 24 hours.</w:t>
      </w:r>
    </w:p>
    <w:p w:rsidR="0025692B" w:rsidRDefault="0025692B" w:rsidP="00C71E65">
      <w:pPr>
        <w:tabs>
          <w:tab w:val="left" w:pos="1170"/>
        </w:tabs>
        <w:spacing w:line="480" w:lineRule="auto"/>
        <w:ind w:firstLine="720"/>
        <w:rPr>
          <w:rFonts w:ascii="Cambria" w:hAnsi="Cambria"/>
        </w:rPr>
      </w:pPr>
    </w:p>
    <w:p w:rsidR="0025692B" w:rsidRPr="008B3FB1" w:rsidRDefault="0025692B" w:rsidP="0025692B">
      <w:pPr>
        <w:tabs>
          <w:tab w:val="left" w:pos="1888"/>
        </w:tabs>
        <w:spacing w:line="480" w:lineRule="auto"/>
        <w:jc w:val="center"/>
        <w:rPr>
          <w:rFonts w:ascii="Cambria" w:hAnsi="Cambria"/>
        </w:rPr>
      </w:pPr>
      <w:r>
        <w:rPr>
          <w:rFonts w:ascii="Cambria" w:hAnsi="Cambria"/>
          <w:b/>
        </w:rPr>
        <w:t>Table 4</w:t>
      </w:r>
      <w:r w:rsidRPr="0098396F">
        <w:rPr>
          <w:rFonts w:ascii="Cambria" w:hAnsi="Cambria"/>
          <w:b/>
        </w:rPr>
        <w:t>.</w:t>
      </w:r>
      <w:r>
        <w:rPr>
          <w:rFonts w:ascii="Cambria" w:hAnsi="Cambria"/>
        </w:rPr>
        <w:t xml:space="preserve">  </w:t>
      </w:r>
      <w:proofErr w:type="gramStart"/>
      <w:r>
        <w:rPr>
          <w:rFonts w:ascii="Cambria" w:hAnsi="Cambria"/>
        </w:rPr>
        <w:t>A and B Ligation Reagents (µl).</w:t>
      </w:r>
      <w:proofErr w:type="gramEnd"/>
    </w:p>
    <w:tbl>
      <w:tblPr>
        <w:tblStyle w:val="TableGrid"/>
        <w:tblW w:w="0" w:type="auto"/>
        <w:tblLook w:val="00BF"/>
      </w:tblPr>
      <w:tblGrid>
        <w:gridCol w:w="2448"/>
        <w:gridCol w:w="2160"/>
        <w:gridCol w:w="2250"/>
        <w:gridCol w:w="1998"/>
      </w:tblGrid>
      <w:tr w:rsidR="0025692B">
        <w:tc>
          <w:tcPr>
            <w:tcW w:w="2448" w:type="dxa"/>
          </w:tcPr>
          <w:p w:rsidR="0025692B" w:rsidRDefault="0025692B" w:rsidP="00B06466">
            <w:pPr>
              <w:tabs>
                <w:tab w:val="left" w:pos="1888"/>
              </w:tabs>
              <w:jc w:val="center"/>
              <w:rPr>
                <w:rFonts w:ascii="Cambria" w:hAnsi="Cambria"/>
              </w:rPr>
            </w:pPr>
          </w:p>
        </w:tc>
        <w:tc>
          <w:tcPr>
            <w:tcW w:w="2160" w:type="dxa"/>
          </w:tcPr>
          <w:p w:rsidR="0025692B" w:rsidRPr="00AC66F8" w:rsidRDefault="0025692B" w:rsidP="00B06466">
            <w:pPr>
              <w:tabs>
                <w:tab w:val="left" w:pos="1888"/>
              </w:tabs>
              <w:jc w:val="center"/>
              <w:rPr>
                <w:rFonts w:ascii="Cambria" w:hAnsi="Cambria"/>
                <w:b/>
              </w:rPr>
            </w:pPr>
            <w:r w:rsidRPr="00AC66F8">
              <w:rPr>
                <w:rFonts w:ascii="Cambria" w:hAnsi="Cambria"/>
                <w:b/>
              </w:rPr>
              <w:t>A</w:t>
            </w:r>
          </w:p>
        </w:tc>
        <w:tc>
          <w:tcPr>
            <w:tcW w:w="2250" w:type="dxa"/>
          </w:tcPr>
          <w:p w:rsidR="0025692B" w:rsidRPr="00AC66F8" w:rsidRDefault="0025692B" w:rsidP="00B06466">
            <w:pPr>
              <w:tabs>
                <w:tab w:val="left" w:pos="1888"/>
              </w:tabs>
              <w:jc w:val="center"/>
              <w:rPr>
                <w:rFonts w:ascii="Cambria" w:hAnsi="Cambria"/>
                <w:b/>
              </w:rPr>
            </w:pPr>
            <w:r w:rsidRPr="00AC66F8">
              <w:rPr>
                <w:rFonts w:ascii="Cambria" w:hAnsi="Cambria"/>
                <w:b/>
              </w:rPr>
              <w:t>B</w:t>
            </w:r>
          </w:p>
        </w:tc>
        <w:tc>
          <w:tcPr>
            <w:tcW w:w="1998" w:type="dxa"/>
          </w:tcPr>
          <w:p w:rsidR="0025692B" w:rsidRPr="00AC66F8" w:rsidRDefault="0025692B" w:rsidP="00B06466">
            <w:pPr>
              <w:tabs>
                <w:tab w:val="left" w:pos="1888"/>
              </w:tabs>
              <w:jc w:val="center"/>
              <w:rPr>
                <w:rFonts w:ascii="Cambria" w:hAnsi="Cambria"/>
                <w:b/>
              </w:rPr>
            </w:pPr>
            <w:r w:rsidRPr="00AC66F8">
              <w:rPr>
                <w:rFonts w:ascii="Cambria" w:hAnsi="Cambria"/>
                <w:b/>
              </w:rPr>
              <w:t>X</w:t>
            </w:r>
          </w:p>
        </w:tc>
      </w:tr>
      <w:tr w:rsidR="0025692B">
        <w:tc>
          <w:tcPr>
            <w:tcW w:w="2448" w:type="dxa"/>
          </w:tcPr>
          <w:p w:rsidR="0025692B" w:rsidRPr="00AC66F8" w:rsidRDefault="0025692B" w:rsidP="0077798B">
            <w:pPr>
              <w:tabs>
                <w:tab w:val="left" w:pos="1888"/>
              </w:tabs>
              <w:rPr>
                <w:rFonts w:ascii="Cambria" w:hAnsi="Cambria"/>
                <w:b/>
              </w:rPr>
            </w:pPr>
            <w:r w:rsidRPr="00AC66F8">
              <w:rPr>
                <w:rFonts w:ascii="Cambria" w:hAnsi="Cambria"/>
                <w:b/>
              </w:rPr>
              <w:t>2x ligation buffer</w:t>
            </w:r>
          </w:p>
        </w:tc>
        <w:tc>
          <w:tcPr>
            <w:tcW w:w="2160" w:type="dxa"/>
          </w:tcPr>
          <w:p w:rsidR="0025692B" w:rsidRDefault="0025692B" w:rsidP="00B06466">
            <w:pPr>
              <w:tabs>
                <w:tab w:val="left" w:pos="1888"/>
              </w:tabs>
              <w:jc w:val="center"/>
              <w:rPr>
                <w:rFonts w:ascii="Cambria" w:hAnsi="Cambria"/>
              </w:rPr>
            </w:pPr>
            <w:r>
              <w:rPr>
                <w:rFonts w:ascii="Cambria" w:hAnsi="Cambria"/>
              </w:rPr>
              <w:t>5</w:t>
            </w:r>
          </w:p>
        </w:tc>
        <w:tc>
          <w:tcPr>
            <w:tcW w:w="2250" w:type="dxa"/>
          </w:tcPr>
          <w:p w:rsidR="0025692B" w:rsidRDefault="0025692B" w:rsidP="00B06466">
            <w:pPr>
              <w:tabs>
                <w:tab w:val="left" w:pos="1888"/>
              </w:tabs>
              <w:jc w:val="center"/>
              <w:rPr>
                <w:rFonts w:ascii="Cambria" w:hAnsi="Cambria"/>
              </w:rPr>
            </w:pPr>
            <w:r>
              <w:rPr>
                <w:rFonts w:ascii="Cambria" w:hAnsi="Cambria"/>
              </w:rPr>
              <w:t>5</w:t>
            </w:r>
          </w:p>
        </w:tc>
        <w:tc>
          <w:tcPr>
            <w:tcW w:w="1998" w:type="dxa"/>
          </w:tcPr>
          <w:p w:rsidR="0025692B" w:rsidRDefault="0025692B" w:rsidP="00B06466">
            <w:pPr>
              <w:tabs>
                <w:tab w:val="left" w:pos="1888"/>
              </w:tabs>
              <w:jc w:val="center"/>
              <w:rPr>
                <w:rFonts w:ascii="Cambria" w:hAnsi="Cambria"/>
              </w:rPr>
            </w:pPr>
            <w:r>
              <w:rPr>
                <w:rFonts w:ascii="Cambria" w:hAnsi="Cambria"/>
              </w:rPr>
              <w:t>5</w:t>
            </w:r>
          </w:p>
        </w:tc>
      </w:tr>
      <w:tr w:rsidR="0025692B">
        <w:tc>
          <w:tcPr>
            <w:tcW w:w="2448" w:type="dxa"/>
          </w:tcPr>
          <w:p w:rsidR="0025692B" w:rsidRPr="00AC66F8" w:rsidRDefault="0025692B" w:rsidP="0077798B">
            <w:pPr>
              <w:tabs>
                <w:tab w:val="left" w:pos="1888"/>
              </w:tabs>
              <w:rPr>
                <w:rFonts w:ascii="Cambria" w:hAnsi="Cambria"/>
                <w:b/>
              </w:rPr>
            </w:pPr>
            <w:proofErr w:type="spellStart"/>
            <w:r w:rsidRPr="00AC66F8">
              <w:rPr>
                <w:rFonts w:ascii="Cambria" w:hAnsi="Cambria"/>
                <w:b/>
              </w:rPr>
              <w:t>pGEM</w:t>
            </w:r>
            <w:proofErr w:type="spellEnd"/>
            <w:r w:rsidRPr="00AC66F8">
              <w:rPr>
                <w:rFonts w:ascii="Cambria" w:hAnsi="Cambria"/>
                <w:b/>
              </w:rPr>
              <w:t>-T easy vector</w:t>
            </w:r>
          </w:p>
        </w:tc>
        <w:tc>
          <w:tcPr>
            <w:tcW w:w="2160" w:type="dxa"/>
          </w:tcPr>
          <w:p w:rsidR="0025692B" w:rsidRDefault="0025692B" w:rsidP="00B06466">
            <w:pPr>
              <w:tabs>
                <w:tab w:val="left" w:pos="1888"/>
              </w:tabs>
              <w:jc w:val="center"/>
              <w:rPr>
                <w:rFonts w:ascii="Cambria" w:hAnsi="Cambria"/>
              </w:rPr>
            </w:pPr>
            <w:r>
              <w:rPr>
                <w:rFonts w:ascii="Cambria" w:hAnsi="Cambria"/>
              </w:rPr>
              <w:t>1</w:t>
            </w:r>
          </w:p>
        </w:tc>
        <w:tc>
          <w:tcPr>
            <w:tcW w:w="2250" w:type="dxa"/>
          </w:tcPr>
          <w:p w:rsidR="0025692B" w:rsidRDefault="0025692B" w:rsidP="00B06466">
            <w:pPr>
              <w:tabs>
                <w:tab w:val="left" w:pos="1888"/>
              </w:tabs>
              <w:jc w:val="center"/>
              <w:rPr>
                <w:rFonts w:ascii="Cambria" w:hAnsi="Cambria"/>
              </w:rPr>
            </w:pPr>
            <w:r>
              <w:rPr>
                <w:rFonts w:ascii="Cambria" w:hAnsi="Cambria"/>
              </w:rPr>
              <w:t>1</w:t>
            </w:r>
          </w:p>
        </w:tc>
        <w:tc>
          <w:tcPr>
            <w:tcW w:w="1998" w:type="dxa"/>
          </w:tcPr>
          <w:p w:rsidR="0025692B" w:rsidRDefault="0025692B" w:rsidP="00B06466">
            <w:pPr>
              <w:tabs>
                <w:tab w:val="left" w:pos="1888"/>
              </w:tabs>
              <w:jc w:val="center"/>
              <w:rPr>
                <w:rFonts w:ascii="Cambria" w:hAnsi="Cambria"/>
              </w:rPr>
            </w:pPr>
            <w:r>
              <w:rPr>
                <w:rFonts w:ascii="Cambria" w:hAnsi="Cambria"/>
              </w:rPr>
              <w:t>1</w:t>
            </w:r>
          </w:p>
        </w:tc>
      </w:tr>
      <w:tr w:rsidR="0025692B">
        <w:tc>
          <w:tcPr>
            <w:tcW w:w="2448" w:type="dxa"/>
          </w:tcPr>
          <w:p w:rsidR="0025692B" w:rsidRPr="00AC66F8" w:rsidRDefault="0025692B" w:rsidP="0077798B">
            <w:pPr>
              <w:tabs>
                <w:tab w:val="left" w:pos="1888"/>
              </w:tabs>
              <w:rPr>
                <w:rFonts w:ascii="Cambria" w:hAnsi="Cambria"/>
                <w:b/>
              </w:rPr>
            </w:pPr>
            <w:r w:rsidRPr="00AC66F8">
              <w:rPr>
                <w:rFonts w:ascii="Cambria" w:hAnsi="Cambria"/>
                <w:b/>
              </w:rPr>
              <w:t>PCR product</w:t>
            </w:r>
          </w:p>
        </w:tc>
        <w:tc>
          <w:tcPr>
            <w:tcW w:w="2160" w:type="dxa"/>
          </w:tcPr>
          <w:p w:rsidR="0025692B" w:rsidRDefault="0025692B" w:rsidP="00B06466">
            <w:pPr>
              <w:tabs>
                <w:tab w:val="left" w:pos="1888"/>
              </w:tabs>
              <w:jc w:val="center"/>
              <w:rPr>
                <w:rFonts w:ascii="Cambria" w:hAnsi="Cambria"/>
              </w:rPr>
            </w:pPr>
            <w:r>
              <w:rPr>
                <w:rFonts w:ascii="Cambria" w:hAnsi="Cambria"/>
              </w:rPr>
              <w:t>3</w:t>
            </w:r>
          </w:p>
        </w:tc>
        <w:tc>
          <w:tcPr>
            <w:tcW w:w="2250" w:type="dxa"/>
          </w:tcPr>
          <w:p w:rsidR="0025692B" w:rsidRDefault="0025692B" w:rsidP="00B06466">
            <w:pPr>
              <w:tabs>
                <w:tab w:val="left" w:pos="1888"/>
              </w:tabs>
              <w:jc w:val="center"/>
              <w:rPr>
                <w:rFonts w:ascii="Cambria" w:hAnsi="Cambria"/>
              </w:rPr>
            </w:pPr>
            <w:r>
              <w:rPr>
                <w:rFonts w:ascii="Cambria" w:hAnsi="Cambria"/>
              </w:rPr>
              <w:t>3</w:t>
            </w:r>
          </w:p>
        </w:tc>
        <w:tc>
          <w:tcPr>
            <w:tcW w:w="1998" w:type="dxa"/>
          </w:tcPr>
          <w:p w:rsidR="0025692B" w:rsidRDefault="0025692B" w:rsidP="00B06466">
            <w:pPr>
              <w:tabs>
                <w:tab w:val="left" w:pos="1888"/>
              </w:tabs>
              <w:jc w:val="center"/>
              <w:rPr>
                <w:rFonts w:ascii="Cambria" w:hAnsi="Cambria"/>
              </w:rPr>
            </w:pPr>
            <w:r>
              <w:rPr>
                <w:rFonts w:ascii="Cambria" w:hAnsi="Cambria"/>
              </w:rPr>
              <w:t>0</w:t>
            </w:r>
          </w:p>
        </w:tc>
      </w:tr>
      <w:tr w:rsidR="0025692B">
        <w:tc>
          <w:tcPr>
            <w:tcW w:w="2448" w:type="dxa"/>
          </w:tcPr>
          <w:p w:rsidR="0025692B" w:rsidRPr="00AC66F8" w:rsidRDefault="0025692B" w:rsidP="0077798B">
            <w:pPr>
              <w:tabs>
                <w:tab w:val="left" w:pos="1888"/>
              </w:tabs>
              <w:rPr>
                <w:rFonts w:ascii="Cambria" w:hAnsi="Cambria"/>
                <w:b/>
              </w:rPr>
            </w:pPr>
            <w:r w:rsidRPr="00AC66F8">
              <w:rPr>
                <w:rFonts w:ascii="Cambria" w:hAnsi="Cambria"/>
                <w:b/>
              </w:rPr>
              <w:t xml:space="preserve">T4 DNA </w:t>
            </w:r>
            <w:proofErr w:type="spellStart"/>
            <w:r w:rsidRPr="00AC66F8">
              <w:rPr>
                <w:rFonts w:ascii="Cambria" w:hAnsi="Cambria"/>
                <w:b/>
              </w:rPr>
              <w:t>ligase</w:t>
            </w:r>
            <w:proofErr w:type="spellEnd"/>
          </w:p>
        </w:tc>
        <w:tc>
          <w:tcPr>
            <w:tcW w:w="2160" w:type="dxa"/>
          </w:tcPr>
          <w:p w:rsidR="0025692B" w:rsidRDefault="0025692B" w:rsidP="00B06466">
            <w:pPr>
              <w:tabs>
                <w:tab w:val="left" w:pos="1888"/>
              </w:tabs>
              <w:jc w:val="center"/>
              <w:rPr>
                <w:rFonts w:ascii="Cambria" w:hAnsi="Cambria"/>
              </w:rPr>
            </w:pPr>
            <w:r>
              <w:rPr>
                <w:rFonts w:ascii="Cambria" w:hAnsi="Cambria"/>
              </w:rPr>
              <w:t>1</w:t>
            </w:r>
          </w:p>
        </w:tc>
        <w:tc>
          <w:tcPr>
            <w:tcW w:w="2250" w:type="dxa"/>
          </w:tcPr>
          <w:p w:rsidR="0025692B" w:rsidRDefault="0025692B" w:rsidP="00B06466">
            <w:pPr>
              <w:tabs>
                <w:tab w:val="left" w:pos="1888"/>
              </w:tabs>
              <w:jc w:val="center"/>
              <w:rPr>
                <w:rFonts w:ascii="Cambria" w:hAnsi="Cambria"/>
              </w:rPr>
            </w:pPr>
            <w:r>
              <w:rPr>
                <w:rFonts w:ascii="Cambria" w:hAnsi="Cambria"/>
              </w:rPr>
              <w:t>1</w:t>
            </w:r>
          </w:p>
        </w:tc>
        <w:tc>
          <w:tcPr>
            <w:tcW w:w="1998" w:type="dxa"/>
          </w:tcPr>
          <w:p w:rsidR="0025692B" w:rsidRDefault="0025692B" w:rsidP="00B06466">
            <w:pPr>
              <w:tabs>
                <w:tab w:val="left" w:pos="1888"/>
              </w:tabs>
              <w:jc w:val="center"/>
              <w:rPr>
                <w:rFonts w:ascii="Cambria" w:hAnsi="Cambria"/>
              </w:rPr>
            </w:pPr>
            <w:r>
              <w:rPr>
                <w:rFonts w:ascii="Cambria" w:hAnsi="Cambria"/>
              </w:rPr>
              <w:t>1</w:t>
            </w:r>
          </w:p>
        </w:tc>
      </w:tr>
      <w:tr w:rsidR="0025692B">
        <w:tc>
          <w:tcPr>
            <w:tcW w:w="2448" w:type="dxa"/>
          </w:tcPr>
          <w:p w:rsidR="0025692B" w:rsidRPr="00AC66F8" w:rsidRDefault="0025692B" w:rsidP="0077798B">
            <w:pPr>
              <w:tabs>
                <w:tab w:val="left" w:pos="1888"/>
              </w:tabs>
              <w:rPr>
                <w:rFonts w:ascii="Cambria" w:hAnsi="Cambria"/>
                <w:b/>
              </w:rPr>
            </w:pPr>
            <w:r w:rsidRPr="00AC66F8">
              <w:rPr>
                <w:rFonts w:ascii="Cambria" w:hAnsi="Cambria"/>
                <w:b/>
              </w:rPr>
              <w:t>De-ionized H</w:t>
            </w:r>
            <w:r w:rsidRPr="00AC66F8">
              <w:rPr>
                <w:rFonts w:ascii="Cambria" w:hAnsi="Cambria"/>
                <w:b/>
                <w:vertAlign w:val="subscript"/>
              </w:rPr>
              <w:t>2</w:t>
            </w:r>
            <w:r w:rsidRPr="00AC66F8">
              <w:rPr>
                <w:rFonts w:ascii="Cambria" w:hAnsi="Cambria"/>
                <w:b/>
              </w:rPr>
              <w:t>0</w:t>
            </w:r>
          </w:p>
        </w:tc>
        <w:tc>
          <w:tcPr>
            <w:tcW w:w="2160" w:type="dxa"/>
          </w:tcPr>
          <w:p w:rsidR="0025692B" w:rsidRDefault="0025692B" w:rsidP="00B06466">
            <w:pPr>
              <w:tabs>
                <w:tab w:val="left" w:pos="1888"/>
              </w:tabs>
              <w:jc w:val="center"/>
              <w:rPr>
                <w:rFonts w:ascii="Cambria" w:hAnsi="Cambria"/>
              </w:rPr>
            </w:pPr>
            <w:r>
              <w:rPr>
                <w:rFonts w:ascii="Cambria" w:hAnsi="Cambria"/>
              </w:rPr>
              <w:t>0</w:t>
            </w:r>
          </w:p>
        </w:tc>
        <w:tc>
          <w:tcPr>
            <w:tcW w:w="2250" w:type="dxa"/>
          </w:tcPr>
          <w:p w:rsidR="0025692B" w:rsidRDefault="0025692B" w:rsidP="00B06466">
            <w:pPr>
              <w:tabs>
                <w:tab w:val="left" w:pos="1888"/>
              </w:tabs>
              <w:jc w:val="center"/>
              <w:rPr>
                <w:rFonts w:ascii="Cambria" w:hAnsi="Cambria"/>
              </w:rPr>
            </w:pPr>
            <w:r>
              <w:rPr>
                <w:rFonts w:ascii="Cambria" w:hAnsi="Cambria"/>
              </w:rPr>
              <w:t>0</w:t>
            </w:r>
          </w:p>
        </w:tc>
        <w:tc>
          <w:tcPr>
            <w:tcW w:w="1998" w:type="dxa"/>
          </w:tcPr>
          <w:p w:rsidR="0025692B" w:rsidRDefault="0025692B" w:rsidP="00B06466">
            <w:pPr>
              <w:tabs>
                <w:tab w:val="left" w:pos="1888"/>
              </w:tabs>
              <w:jc w:val="center"/>
              <w:rPr>
                <w:rFonts w:ascii="Cambria" w:hAnsi="Cambria"/>
              </w:rPr>
            </w:pPr>
            <w:r>
              <w:rPr>
                <w:rFonts w:ascii="Cambria" w:hAnsi="Cambria"/>
              </w:rPr>
              <w:t>3</w:t>
            </w:r>
          </w:p>
        </w:tc>
      </w:tr>
      <w:tr w:rsidR="0025692B">
        <w:tc>
          <w:tcPr>
            <w:tcW w:w="2448" w:type="dxa"/>
          </w:tcPr>
          <w:p w:rsidR="0025692B" w:rsidRPr="00AC66F8" w:rsidRDefault="0025692B" w:rsidP="0077798B">
            <w:pPr>
              <w:tabs>
                <w:tab w:val="left" w:pos="1888"/>
              </w:tabs>
              <w:rPr>
                <w:rFonts w:ascii="Cambria" w:hAnsi="Cambria"/>
                <w:b/>
              </w:rPr>
            </w:pPr>
            <w:r w:rsidRPr="00AC66F8">
              <w:rPr>
                <w:rFonts w:ascii="Cambria" w:hAnsi="Cambria"/>
                <w:b/>
              </w:rPr>
              <w:t>Total</w:t>
            </w:r>
          </w:p>
        </w:tc>
        <w:tc>
          <w:tcPr>
            <w:tcW w:w="2160" w:type="dxa"/>
          </w:tcPr>
          <w:p w:rsidR="0025692B" w:rsidRDefault="0025692B" w:rsidP="00B06466">
            <w:pPr>
              <w:tabs>
                <w:tab w:val="left" w:pos="1888"/>
              </w:tabs>
              <w:jc w:val="center"/>
              <w:rPr>
                <w:rFonts w:ascii="Cambria" w:hAnsi="Cambria"/>
              </w:rPr>
            </w:pPr>
            <w:r>
              <w:rPr>
                <w:rFonts w:ascii="Cambria" w:hAnsi="Cambria"/>
              </w:rPr>
              <w:t>10</w:t>
            </w:r>
          </w:p>
        </w:tc>
        <w:tc>
          <w:tcPr>
            <w:tcW w:w="2250" w:type="dxa"/>
          </w:tcPr>
          <w:p w:rsidR="0025692B" w:rsidRDefault="0025692B" w:rsidP="00B06466">
            <w:pPr>
              <w:tabs>
                <w:tab w:val="left" w:pos="1888"/>
              </w:tabs>
              <w:jc w:val="center"/>
              <w:rPr>
                <w:rFonts w:ascii="Cambria" w:hAnsi="Cambria"/>
              </w:rPr>
            </w:pPr>
            <w:r>
              <w:rPr>
                <w:rFonts w:ascii="Cambria" w:hAnsi="Cambria"/>
              </w:rPr>
              <w:t>10</w:t>
            </w:r>
          </w:p>
        </w:tc>
        <w:tc>
          <w:tcPr>
            <w:tcW w:w="1998" w:type="dxa"/>
          </w:tcPr>
          <w:p w:rsidR="0025692B" w:rsidRDefault="0025692B" w:rsidP="00B06466">
            <w:pPr>
              <w:tabs>
                <w:tab w:val="left" w:pos="1888"/>
              </w:tabs>
              <w:jc w:val="center"/>
              <w:rPr>
                <w:rFonts w:ascii="Cambria" w:hAnsi="Cambria"/>
              </w:rPr>
            </w:pPr>
            <w:r>
              <w:rPr>
                <w:rFonts w:ascii="Cambria" w:hAnsi="Cambria"/>
              </w:rPr>
              <w:t>10</w:t>
            </w:r>
          </w:p>
        </w:tc>
      </w:tr>
    </w:tbl>
    <w:p w:rsidR="00F4234B" w:rsidRDefault="00F4234B" w:rsidP="003800A9">
      <w:pPr>
        <w:spacing w:line="480" w:lineRule="auto"/>
        <w:ind w:firstLine="720"/>
        <w:rPr>
          <w:rFonts w:ascii="Cambria" w:hAnsi="Cambria"/>
        </w:rPr>
      </w:pPr>
    </w:p>
    <w:p w:rsidR="00F4234B" w:rsidRDefault="00F4234B" w:rsidP="00F4234B">
      <w:pPr>
        <w:spacing w:line="480" w:lineRule="auto"/>
        <w:ind w:firstLine="720"/>
        <w:rPr>
          <w:rFonts w:ascii="Cambria" w:hAnsi="Cambria"/>
        </w:rPr>
      </w:pPr>
      <w:r>
        <w:rPr>
          <w:rFonts w:ascii="Cambria" w:hAnsi="Cambria"/>
        </w:rPr>
        <w:t xml:space="preserve">The ligations were transformed.  Transformations included: a negative control, containing only cells and SOC medium to ensure bacteria do not have resistance to </w:t>
      </w:r>
      <w:proofErr w:type="spellStart"/>
      <w:r w:rsidR="00F75B83">
        <w:rPr>
          <w:rFonts w:ascii="Cambria" w:hAnsi="Cambria"/>
        </w:rPr>
        <w:t>Ampicillin</w:t>
      </w:r>
      <w:proofErr w:type="spellEnd"/>
      <w:r>
        <w:rPr>
          <w:rFonts w:ascii="Cambria" w:hAnsi="Cambria"/>
        </w:rPr>
        <w:t xml:space="preserve"> without a plasmid.  A positive control containing </w:t>
      </w:r>
      <w:proofErr w:type="spellStart"/>
      <w:r>
        <w:rPr>
          <w:rFonts w:ascii="Cambria" w:hAnsi="Cambria"/>
        </w:rPr>
        <w:t>Bluescript</w:t>
      </w:r>
      <w:proofErr w:type="spellEnd"/>
      <w:r>
        <w:rPr>
          <w:rFonts w:ascii="Cambria" w:hAnsi="Cambria"/>
        </w:rPr>
        <w:t xml:space="preserve"> plasmid, ensuring bacteria would survive the transformation procedure and grow with a plasmid. Lastly, a viability plate made of a mixture of cells and SOC were plated in an antibiotic-free plate to ensure cells are alive. After 24 hours, colonies were found on plates A, B, the positive control an</w:t>
      </w:r>
      <w:r w:rsidR="0025692B">
        <w:rPr>
          <w:rFonts w:ascii="Cambria" w:hAnsi="Cambria"/>
        </w:rPr>
        <w:t>d the viability control (Table 5</w:t>
      </w:r>
      <w:r>
        <w:rPr>
          <w:rFonts w:ascii="Cambria" w:hAnsi="Cambria"/>
        </w:rPr>
        <w:t xml:space="preserve">).  Therefore, overnight cultures were completed in order to grow a large amount of bacteria in a short amount of time.  Turbid vials indicated expected cell growth. </w:t>
      </w:r>
    </w:p>
    <w:p w:rsidR="00F4234B" w:rsidRDefault="00F4234B" w:rsidP="00F4234B">
      <w:pPr>
        <w:spacing w:line="480" w:lineRule="auto"/>
        <w:ind w:firstLine="720"/>
        <w:rPr>
          <w:rFonts w:ascii="Cambria" w:hAnsi="Cambria"/>
        </w:rPr>
      </w:pPr>
    </w:p>
    <w:p w:rsidR="00F75B83" w:rsidRDefault="00F75B83" w:rsidP="00F4234B">
      <w:pPr>
        <w:spacing w:line="480" w:lineRule="auto"/>
        <w:jc w:val="center"/>
        <w:rPr>
          <w:b/>
        </w:rPr>
      </w:pPr>
    </w:p>
    <w:p w:rsidR="00F4234B" w:rsidRDefault="0025692B" w:rsidP="00F4234B">
      <w:pPr>
        <w:spacing w:line="480" w:lineRule="auto"/>
        <w:jc w:val="center"/>
      </w:pPr>
      <w:proofErr w:type="gramStart"/>
      <w:r>
        <w:rPr>
          <w:b/>
        </w:rPr>
        <w:t>Table 5</w:t>
      </w:r>
      <w:r w:rsidR="00F4234B" w:rsidRPr="00F96635">
        <w:rPr>
          <w:b/>
        </w:rPr>
        <w:t>.</w:t>
      </w:r>
      <w:proofErr w:type="gramEnd"/>
      <w:r w:rsidR="00F4234B">
        <w:t xml:space="preserve">  </w:t>
      </w:r>
      <w:proofErr w:type="gramStart"/>
      <w:r w:rsidR="00F4234B">
        <w:t>Transformation of A and B.</w:t>
      </w:r>
      <w:proofErr w:type="gramEnd"/>
    </w:p>
    <w:tbl>
      <w:tblPr>
        <w:tblStyle w:val="TableGrid"/>
        <w:tblW w:w="0" w:type="auto"/>
        <w:tblLook w:val="00BF"/>
      </w:tblPr>
      <w:tblGrid>
        <w:gridCol w:w="1638"/>
        <w:gridCol w:w="1314"/>
        <w:gridCol w:w="1476"/>
        <w:gridCol w:w="1476"/>
        <w:gridCol w:w="1476"/>
        <w:gridCol w:w="1476"/>
      </w:tblGrid>
      <w:tr w:rsidR="00F4234B">
        <w:tc>
          <w:tcPr>
            <w:tcW w:w="1638" w:type="dxa"/>
          </w:tcPr>
          <w:p w:rsidR="00F4234B" w:rsidRDefault="00F4234B" w:rsidP="00B06466">
            <w:pPr>
              <w:jc w:val="center"/>
            </w:pPr>
          </w:p>
        </w:tc>
        <w:tc>
          <w:tcPr>
            <w:tcW w:w="1314" w:type="dxa"/>
          </w:tcPr>
          <w:p w:rsidR="00F4234B" w:rsidRPr="00B0436A" w:rsidRDefault="00F4234B" w:rsidP="00B06466">
            <w:pPr>
              <w:jc w:val="center"/>
              <w:rPr>
                <w:b/>
              </w:rPr>
            </w:pPr>
            <w:r w:rsidRPr="00B0436A">
              <w:rPr>
                <w:b/>
              </w:rPr>
              <w:t>A</w:t>
            </w:r>
          </w:p>
        </w:tc>
        <w:tc>
          <w:tcPr>
            <w:tcW w:w="1476" w:type="dxa"/>
          </w:tcPr>
          <w:p w:rsidR="00F4234B" w:rsidRPr="00B0436A" w:rsidRDefault="00F4234B" w:rsidP="00B06466">
            <w:pPr>
              <w:jc w:val="center"/>
              <w:rPr>
                <w:b/>
              </w:rPr>
            </w:pPr>
            <w:r w:rsidRPr="00B0436A">
              <w:rPr>
                <w:b/>
              </w:rPr>
              <w:t>B</w:t>
            </w:r>
          </w:p>
        </w:tc>
        <w:tc>
          <w:tcPr>
            <w:tcW w:w="1476" w:type="dxa"/>
          </w:tcPr>
          <w:p w:rsidR="00F4234B" w:rsidRPr="00B0436A" w:rsidRDefault="00F4234B" w:rsidP="00B06466">
            <w:pPr>
              <w:jc w:val="center"/>
              <w:rPr>
                <w:b/>
              </w:rPr>
            </w:pPr>
            <w:r w:rsidRPr="00B0436A">
              <w:rPr>
                <w:b/>
              </w:rPr>
              <w:t>X</w:t>
            </w:r>
          </w:p>
        </w:tc>
        <w:tc>
          <w:tcPr>
            <w:tcW w:w="1476" w:type="dxa"/>
          </w:tcPr>
          <w:p w:rsidR="00F4234B" w:rsidRPr="00B0436A" w:rsidRDefault="00F4234B" w:rsidP="00B06466">
            <w:pPr>
              <w:jc w:val="center"/>
              <w:rPr>
                <w:b/>
              </w:rPr>
            </w:pPr>
            <w:r w:rsidRPr="00B0436A">
              <w:rPr>
                <w:b/>
              </w:rPr>
              <w:t>Positive</w:t>
            </w:r>
          </w:p>
        </w:tc>
        <w:tc>
          <w:tcPr>
            <w:tcW w:w="1476" w:type="dxa"/>
          </w:tcPr>
          <w:p w:rsidR="00F4234B" w:rsidRPr="00B0436A" w:rsidRDefault="00F4234B" w:rsidP="00B06466">
            <w:pPr>
              <w:jc w:val="center"/>
              <w:rPr>
                <w:b/>
              </w:rPr>
            </w:pPr>
            <w:r w:rsidRPr="00B0436A">
              <w:rPr>
                <w:b/>
              </w:rPr>
              <w:t>Negative</w:t>
            </w:r>
          </w:p>
        </w:tc>
      </w:tr>
      <w:tr w:rsidR="00F4234B">
        <w:tc>
          <w:tcPr>
            <w:tcW w:w="1638" w:type="dxa"/>
          </w:tcPr>
          <w:p w:rsidR="00F4234B" w:rsidRPr="00B0436A" w:rsidRDefault="00F4234B" w:rsidP="0077798B">
            <w:pPr>
              <w:rPr>
                <w:b/>
              </w:rPr>
            </w:pPr>
            <w:r w:rsidRPr="00B0436A">
              <w:rPr>
                <w:b/>
              </w:rPr>
              <w:t>Ligation (</w:t>
            </w:r>
            <w:r w:rsidRPr="00B0436A">
              <w:rPr>
                <w:rFonts w:ascii="Cambria" w:hAnsi="Cambria"/>
                <w:b/>
              </w:rPr>
              <w:t>µl)</w:t>
            </w:r>
          </w:p>
        </w:tc>
        <w:tc>
          <w:tcPr>
            <w:tcW w:w="1314" w:type="dxa"/>
          </w:tcPr>
          <w:p w:rsidR="00F4234B" w:rsidRDefault="00F4234B" w:rsidP="00B06466">
            <w:pPr>
              <w:jc w:val="center"/>
            </w:pPr>
            <w:r>
              <w:t>2</w:t>
            </w:r>
          </w:p>
        </w:tc>
        <w:tc>
          <w:tcPr>
            <w:tcW w:w="1476" w:type="dxa"/>
          </w:tcPr>
          <w:p w:rsidR="00F4234B" w:rsidRDefault="00F4234B" w:rsidP="00B06466">
            <w:pPr>
              <w:jc w:val="center"/>
            </w:pPr>
            <w:r>
              <w:t>2</w:t>
            </w:r>
          </w:p>
        </w:tc>
        <w:tc>
          <w:tcPr>
            <w:tcW w:w="1476" w:type="dxa"/>
          </w:tcPr>
          <w:p w:rsidR="00F4234B" w:rsidRDefault="00F4234B" w:rsidP="00B06466">
            <w:pPr>
              <w:jc w:val="center"/>
            </w:pPr>
            <w:r>
              <w:t>2</w:t>
            </w:r>
          </w:p>
        </w:tc>
        <w:tc>
          <w:tcPr>
            <w:tcW w:w="1476" w:type="dxa"/>
          </w:tcPr>
          <w:p w:rsidR="00F4234B" w:rsidRDefault="00F4234B" w:rsidP="00B06466">
            <w:pPr>
              <w:jc w:val="center"/>
            </w:pPr>
            <w:r>
              <w:t>*</w:t>
            </w:r>
          </w:p>
        </w:tc>
        <w:tc>
          <w:tcPr>
            <w:tcW w:w="1476" w:type="dxa"/>
          </w:tcPr>
          <w:p w:rsidR="00F4234B" w:rsidRDefault="00F4234B" w:rsidP="00B06466">
            <w:pPr>
              <w:jc w:val="center"/>
            </w:pPr>
            <w:r>
              <w:t>0</w:t>
            </w:r>
          </w:p>
        </w:tc>
      </w:tr>
      <w:tr w:rsidR="00F4234B">
        <w:tc>
          <w:tcPr>
            <w:tcW w:w="1638" w:type="dxa"/>
          </w:tcPr>
          <w:p w:rsidR="00F4234B" w:rsidRPr="00B0436A" w:rsidRDefault="00F4234B" w:rsidP="0077798B">
            <w:pPr>
              <w:rPr>
                <w:b/>
              </w:rPr>
            </w:pPr>
            <w:r w:rsidRPr="00B0436A">
              <w:rPr>
                <w:b/>
              </w:rPr>
              <w:t>Cells (</w:t>
            </w:r>
            <w:r w:rsidRPr="00B0436A">
              <w:rPr>
                <w:rFonts w:ascii="Cambria" w:hAnsi="Cambria"/>
                <w:b/>
              </w:rPr>
              <w:t>µl)</w:t>
            </w:r>
          </w:p>
        </w:tc>
        <w:tc>
          <w:tcPr>
            <w:tcW w:w="1314" w:type="dxa"/>
          </w:tcPr>
          <w:p w:rsidR="00F4234B" w:rsidRDefault="00F4234B" w:rsidP="00B06466">
            <w:pPr>
              <w:jc w:val="center"/>
            </w:pPr>
            <w:r>
              <w:t>60</w:t>
            </w:r>
          </w:p>
        </w:tc>
        <w:tc>
          <w:tcPr>
            <w:tcW w:w="1476" w:type="dxa"/>
          </w:tcPr>
          <w:p w:rsidR="00F4234B" w:rsidRDefault="00F4234B" w:rsidP="00B06466">
            <w:pPr>
              <w:jc w:val="center"/>
            </w:pPr>
            <w:r>
              <w:t>60</w:t>
            </w:r>
          </w:p>
        </w:tc>
        <w:tc>
          <w:tcPr>
            <w:tcW w:w="1476" w:type="dxa"/>
          </w:tcPr>
          <w:p w:rsidR="00F4234B" w:rsidRDefault="00F4234B" w:rsidP="00B06466">
            <w:pPr>
              <w:jc w:val="center"/>
            </w:pPr>
            <w:r>
              <w:t>60</w:t>
            </w:r>
          </w:p>
        </w:tc>
        <w:tc>
          <w:tcPr>
            <w:tcW w:w="1476" w:type="dxa"/>
          </w:tcPr>
          <w:p w:rsidR="00F4234B" w:rsidRDefault="00F4234B" w:rsidP="00B06466">
            <w:pPr>
              <w:jc w:val="center"/>
            </w:pPr>
            <w:r>
              <w:t>60</w:t>
            </w:r>
          </w:p>
        </w:tc>
        <w:tc>
          <w:tcPr>
            <w:tcW w:w="1476" w:type="dxa"/>
          </w:tcPr>
          <w:p w:rsidR="00F4234B" w:rsidRDefault="00F4234B" w:rsidP="00B06466">
            <w:pPr>
              <w:jc w:val="center"/>
            </w:pPr>
            <w:r>
              <w:t>60</w:t>
            </w:r>
          </w:p>
        </w:tc>
      </w:tr>
      <w:tr w:rsidR="00F4234B">
        <w:tc>
          <w:tcPr>
            <w:tcW w:w="1638" w:type="dxa"/>
          </w:tcPr>
          <w:p w:rsidR="00F4234B" w:rsidRPr="00B0436A" w:rsidRDefault="00F4234B" w:rsidP="0077798B">
            <w:pPr>
              <w:rPr>
                <w:b/>
              </w:rPr>
            </w:pPr>
            <w:r w:rsidRPr="00B0436A">
              <w:rPr>
                <w:b/>
              </w:rPr>
              <w:t>SOC (</w:t>
            </w:r>
            <w:r w:rsidRPr="00B0436A">
              <w:rPr>
                <w:rFonts w:ascii="Cambria" w:hAnsi="Cambria"/>
                <w:b/>
              </w:rPr>
              <w:t>µl)</w:t>
            </w:r>
          </w:p>
        </w:tc>
        <w:tc>
          <w:tcPr>
            <w:tcW w:w="1314" w:type="dxa"/>
          </w:tcPr>
          <w:p w:rsidR="00F4234B" w:rsidRDefault="00F4234B" w:rsidP="00B06466">
            <w:pPr>
              <w:jc w:val="center"/>
            </w:pPr>
            <w:r>
              <w:t>950</w:t>
            </w:r>
          </w:p>
        </w:tc>
        <w:tc>
          <w:tcPr>
            <w:tcW w:w="1476" w:type="dxa"/>
          </w:tcPr>
          <w:p w:rsidR="00F4234B" w:rsidRDefault="00F4234B" w:rsidP="00B06466">
            <w:pPr>
              <w:jc w:val="center"/>
            </w:pPr>
            <w:r>
              <w:t>950</w:t>
            </w:r>
          </w:p>
        </w:tc>
        <w:tc>
          <w:tcPr>
            <w:tcW w:w="1476" w:type="dxa"/>
          </w:tcPr>
          <w:p w:rsidR="00F4234B" w:rsidRDefault="00F4234B" w:rsidP="00B06466">
            <w:pPr>
              <w:jc w:val="center"/>
            </w:pPr>
            <w:r>
              <w:t>950</w:t>
            </w:r>
          </w:p>
        </w:tc>
        <w:tc>
          <w:tcPr>
            <w:tcW w:w="1476" w:type="dxa"/>
          </w:tcPr>
          <w:p w:rsidR="00F4234B" w:rsidRDefault="00F4234B" w:rsidP="00B06466">
            <w:pPr>
              <w:jc w:val="center"/>
            </w:pPr>
            <w:r>
              <w:t>950</w:t>
            </w:r>
          </w:p>
        </w:tc>
        <w:tc>
          <w:tcPr>
            <w:tcW w:w="1476" w:type="dxa"/>
          </w:tcPr>
          <w:p w:rsidR="00F4234B" w:rsidRDefault="00F4234B" w:rsidP="00B06466">
            <w:pPr>
              <w:jc w:val="center"/>
            </w:pPr>
            <w:r>
              <w:t>950</w:t>
            </w:r>
          </w:p>
        </w:tc>
      </w:tr>
      <w:tr w:rsidR="00F4234B">
        <w:tc>
          <w:tcPr>
            <w:tcW w:w="1638" w:type="dxa"/>
          </w:tcPr>
          <w:p w:rsidR="00F4234B" w:rsidRPr="00B0436A" w:rsidRDefault="00F4234B" w:rsidP="0077798B">
            <w:pPr>
              <w:rPr>
                <w:b/>
              </w:rPr>
            </w:pPr>
            <w:r w:rsidRPr="00B0436A">
              <w:rPr>
                <w:b/>
              </w:rPr>
              <w:t>Colonies</w:t>
            </w:r>
          </w:p>
        </w:tc>
        <w:tc>
          <w:tcPr>
            <w:tcW w:w="1314" w:type="dxa"/>
          </w:tcPr>
          <w:p w:rsidR="00F4234B" w:rsidRDefault="00F4234B" w:rsidP="00B06466">
            <w:pPr>
              <w:jc w:val="center"/>
            </w:pPr>
            <w:r>
              <w:rPr>
                <w:rFonts w:ascii="Cambria" w:hAnsi="Cambria"/>
              </w:rPr>
              <w:t>~</w:t>
            </w:r>
            <w:r>
              <w:t>60</w:t>
            </w:r>
          </w:p>
        </w:tc>
        <w:tc>
          <w:tcPr>
            <w:tcW w:w="1476" w:type="dxa"/>
          </w:tcPr>
          <w:p w:rsidR="00F4234B" w:rsidRDefault="00F4234B" w:rsidP="00B06466">
            <w:pPr>
              <w:jc w:val="center"/>
            </w:pPr>
            <w:r>
              <w:rPr>
                <w:rFonts w:ascii="Cambria" w:hAnsi="Cambria"/>
              </w:rPr>
              <w:t>~</w:t>
            </w:r>
            <w:r>
              <w:t>60</w:t>
            </w:r>
          </w:p>
        </w:tc>
        <w:tc>
          <w:tcPr>
            <w:tcW w:w="1476" w:type="dxa"/>
          </w:tcPr>
          <w:p w:rsidR="00F4234B" w:rsidRDefault="00F4234B" w:rsidP="00B06466">
            <w:pPr>
              <w:jc w:val="center"/>
            </w:pPr>
            <w:r>
              <w:t>3</w:t>
            </w:r>
          </w:p>
        </w:tc>
        <w:tc>
          <w:tcPr>
            <w:tcW w:w="1476" w:type="dxa"/>
          </w:tcPr>
          <w:p w:rsidR="00F4234B" w:rsidRDefault="00F4234B" w:rsidP="00B06466">
            <w:pPr>
              <w:jc w:val="center"/>
            </w:pPr>
            <w:r>
              <w:rPr>
                <w:rFonts w:ascii="Cambria" w:hAnsi="Cambria"/>
              </w:rPr>
              <w:t>~</w:t>
            </w:r>
            <w:r>
              <w:t>1600</w:t>
            </w:r>
          </w:p>
        </w:tc>
        <w:tc>
          <w:tcPr>
            <w:tcW w:w="1476" w:type="dxa"/>
          </w:tcPr>
          <w:p w:rsidR="00F4234B" w:rsidRDefault="00F4234B" w:rsidP="00B06466">
            <w:pPr>
              <w:jc w:val="center"/>
            </w:pPr>
            <w:r>
              <w:t>0</w:t>
            </w:r>
          </w:p>
        </w:tc>
      </w:tr>
    </w:tbl>
    <w:p w:rsidR="00F4234B" w:rsidRDefault="00F4234B" w:rsidP="00F4234B">
      <w:pPr>
        <w:spacing w:line="480" w:lineRule="auto"/>
        <w:jc w:val="center"/>
        <w:rPr>
          <w:rFonts w:ascii="Cambria" w:hAnsi="Cambria"/>
        </w:rPr>
      </w:pPr>
      <w:r>
        <w:t xml:space="preserve">* = 2 </w:t>
      </w:r>
      <w:r>
        <w:rPr>
          <w:rFonts w:ascii="Cambria" w:hAnsi="Cambria"/>
        </w:rPr>
        <w:t xml:space="preserve">µl </w:t>
      </w:r>
      <w:proofErr w:type="spellStart"/>
      <w:r>
        <w:rPr>
          <w:rFonts w:ascii="Cambria" w:hAnsi="Cambria"/>
        </w:rPr>
        <w:t>Bluescript</w:t>
      </w:r>
      <w:proofErr w:type="spellEnd"/>
      <w:r>
        <w:rPr>
          <w:rFonts w:ascii="Cambria" w:hAnsi="Cambria"/>
        </w:rPr>
        <w:t xml:space="preserve"> Plasmid</w:t>
      </w:r>
    </w:p>
    <w:p w:rsidR="00F4234B" w:rsidRPr="00EB1756" w:rsidRDefault="00F4234B" w:rsidP="00F4234B">
      <w:pPr>
        <w:spacing w:line="480" w:lineRule="auto"/>
        <w:ind w:firstLine="720"/>
        <w:rPr>
          <w:rFonts w:ascii="Cambria" w:hAnsi="Cambria"/>
        </w:rPr>
      </w:pPr>
    </w:p>
    <w:p w:rsidR="00C57DE4" w:rsidRDefault="00C57DE4" w:rsidP="00C57DE4">
      <w:pPr>
        <w:spacing w:line="480" w:lineRule="auto"/>
        <w:ind w:firstLine="720"/>
      </w:pPr>
      <w:r>
        <w:t xml:space="preserve">The transformation of samples A and B (Table 4) was successful.  It can be assumed that the vector was inserted in A and B since bacteria grew on the </w:t>
      </w:r>
      <w:proofErr w:type="spellStart"/>
      <w:r w:rsidR="00F75B83">
        <w:t>Ampicillin</w:t>
      </w:r>
      <w:proofErr w:type="spellEnd"/>
      <w:r>
        <w:t xml:space="preserve"> resistant plates in nearly equal amounts.  The background ligation, X, had little growth.  Therefore it can be assumed there is no self-ligation in the vector.  A possible reason for colony growth in X could be due to the fact that </w:t>
      </w:r>
      <w:proofErr w:type="spellStart"/>
      <w:r w:rsidR="00F75B83">
        <w:t>Ampicillin</w:t>
      </w:r>
      <w:proofErr w:type="spellEnd"/>
      <w:r>
        <w:t xml:space="preserve"> was consumed and allowed non-resistant bacteria to grow.  The negative control did not have a plasmid and no growth was seen because the vector was not self-</w:t>
      </w:r>
      <w:proofErr w:type="spellStart"/>
      <w:r>
        <w:t>ligated</w:t>
      </w:r>
      <w:proofErr w:type="spellEnd"/>
      <w:r>
        <w:t xml:space="preserve">.  The positive control had a </w:t>
      </w:r>
      <w:proofErr w:type="spellStart"/>
      <w:r>
        <w:t>Bluescript</w:t>
      </w:r>
      <w:proofErr w:type="spellEnd"/>
      <w:r>
        <w:t xml:space="preserve"> plasmid and grew due to the existence of the plasmid.  The viability plate was completely covered, ensuring the cells were alive and survived the transformation process.  </w:t>
      </w:r>
    </w:p>
    <w:p w:rsidR="00F4234B" w:rsidRDefault="00F4234B" w:rsidP="00C71E65">
      <w:pPr>
        <w:spacing w:line="480" w:lineRule="auto"/>
        <w:ind w:firstLine="720"/>
        <w:rPr>
          <w:rFonts w:ascii="Cambria" w:hAnsi="Cambria"/>
        </w:rPr>
      </w:pPr>
      <w:r>
        <w:t>Six overnight cultures were completed on tubes A and B, and three cult</w:t>
      </w:r>
      <w:r w:rsidR="00C71E65">
        <w:t xml:space="preserve">ures on the positive control.  </w:t>
      </w:r>
      <w:r>
        <w:rPr>
          <w:rFonts w:ascii="Cambria" w:hAnsi="Cambria"/>
        </w:rPr>
        <w:t xml:space="preserve">All overnight cultures had growth.  Glycerol stocks were made with overnight cultures in order to have stock for long term storage of A, B and the positive control.  2 ml tubes were labeled 1A-6A, 1B-6B and 1+ through 3+. </w:t>
      </w:r>
    </w:p>
    <w:p w:rsidR="00F4234B" w:rsidRDefault="00F4234B" w:rsidP="00F4234B">
      <w:pPr>
        <w:spacing w:line="480" w:lineRule="auto"/>
        <w:ind w:firstLine="720"/>
        <w:rPr>
          <w:rFonts w:ascii="Cambria" w:hAnsi="Cambria"/>
        </w:rPr>
      </w:pPr>
      <w:r>
        <w:rPr>
          <w:rFonts w:ascii="Cambria" w:hAnsi="Cambria"/>
        </w:rPr>
        <w:t xml:space="preserve">Plasmids were isolated from 1A-6A and 1B-6B. </w:t>
      </w:r>
      <w:r w:rsidR="006E06C7">
        <w:rPr>
          <w:rFonts w:ascii="Cambria" w:hAnsi="Cambria"/>
        </w:rPr>
        <w:t xml:space="preserve"> </w:t>
      </w:r>
      <w:r>
        <w:rPr>
          <w:rFonts w:ascii="Cambria" w:hAnsi="Cambria"/>
        </w:rPr>
        <w:t>The solution got very cloudy and white when neutralization buffer was added in all vials.  Very large pellets were present in each vial after step 1.  On step 3, the entire amount of wash buffer did not flow through in tube 5A.  In step 4, the DNA was incubated at room temperature.</w:t>
      </w:r>
    </w:p>
    <w:p w:rsidR="00C57DE4" w:rsidRDefault="00F4234B" w:rsidP="00C57DE4">
      <w:pPr>
        <w:spacing w:line="480" w:lineRule="auto"/>
        <w:rPr>
          <w:rFonts w:ascii="Cambria" w:hAnsi="Cambria"/>
        </w:rPr>
      </w:pPr>
      <w:r>
        <w:rPr>
          <w:rFonts w:ascii="Cambria" w:hAnsi="Cambria"/>
        </w:rPr>
        <w:tab/>
        <w:t xml:space="preserve">The plasmid isolation products were run on a 1.0% </w:t>
      </w:r>
      <w:proofErr w:type="spellStart"/>
      <w:r>
        <w:rPr>
          <w:rFonts w:ascii="Cambria" w:hAnsi="Cambria"/>
        </w:rPr>
        <w:t>agarose</w:t>
      </w:r>
      <w:proofErr w:type="spellEnd"/>
      <w:r>
        <w:rPr>
          <w:rFonts w:ascii="Cambria" w:hAnsi="Cambria"/>
        </w:rPr>
        <w:t xml:space="preserve"> gel to make sure DNA was present.  A3 and B1 did not contain DNA, the other isolations did (Figure 9). </w:t>
      </w:r>
      <w:r w:rsidR="00C57DE4">
        <w:rPr>
          <w:rFonts w:ascii="Cambria" w:hAnsi="Cambria"/>
        </w:rPr>
        <w:t xml:space="preserve"> The rest of the plasmid isolation products have DNA in high concentrations due to bright bands.  The gel extraction product bands were either absent or very faint.  The gel extraction was not successful.</w:t>
      </w:r>
    </w:p>
    <w:p w:rsidR="00C57DE4" w:rsidRDefault="00C57DE4" w:rsidP="00C57DE4">
      <w:pPr>
        <w:spacing w:line="480" w:lineRule="auto"/>
        <w:ind w:firstLine="720"/>
      </w:pPr>
      <w:r>
        <w:t>The gel extraction did not work either time it was attempted.  The reason is not apparent.  The kit could have been bad, however other research groups had success with the same kit.  The FaQR2/FaQR3 primer pair may not have amplified a high enough concentration of DNA to be used with gel extraction.</w:t>
      </w:r>
    </w:p>
    <w:p w:rsidR="00DE033B" w:rsidRPr="00C57DE4" w:rsidRDefault="00DE033B" w:rsidP="00C57DE4">
      <w:pPr>
        <w:spacing w:line="480" w:lineRule="auto"/>
        <w:rPr>
          <w:rFonts w:ascii="Cambria" w:hAnsi="Cambria"/>
        </w:rPr>
      </w:pPr>
    </w:p>
    <w:p w:rsidR="00DE033B" w:rsidRDefault="00543C1A" w:rsidP="00F70ACA">
      <w:pPr>
        <w:rPr>
          <w:rFonts w:ascii="Cambria" w:hAnsi="Cambria"/>
          <w:b/>
        </w:rPr>
      </w:pPr>
      <w:r w:rsidRPr="00543C1A">
        <w:rPr>
          <w:rFonts w:ascii="Cambria" w:hAnsi="Cambria"/>
          <w:b/>
          <w:noProof/>
        </w:rPr>
        <w:drawing>
          <wp:inline distT="0" distB="0" distL="0" distR="0">
            <wp:extent cx="2819041" cy="2424023"/>
            <wp:effectExtent l="19050" t="0" r="359" b="0"/>
            <wp:docPr id="5"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572001" cy="4184355"/>
                      <a:chOff x="1981200" y="381000"/>
                      <a:chExt cx="4572001" cy="4184355"/>
                    </a:xfrm>
                  </a:grpSpPr>
                  <a:pic>
                    <a:nvPicPr>
                      <a:cNvPr id="2" name="Picture 3" descr="E:\img002.jpg"/>
                      <a:cNvPicPr>
                        <a:picLocks noChangeAspect="1" noChangeArrowheads="1"/>
                      </a:cNvPicPr>
                    </a:nvPicPr>
                    <a:blipFill>
                      <a:blip r:embed="rId12" cstate="print"/>
                      <a:srcRect l="14879" t="3722" b="53598"/>
                      <a:stretch>
                        <a:fillRect/>
                      </a:stretch>
                    </a:blipFill>
                    <a:spPr bwMode="auto">
                      <a:xfrm rot="5400000">
                        <a:off x="2746523" y="758678"/>
                        <a:ext cx="3041355" cy="4572000"/>
                      </a:xfrm>
                      <a:prstGeom prst="rect">
                        <a:avLst/>
                      </a:prstGeom>
                      <a:noFill/>
                    </a:spPr>
                  </a:pic>
                  <a:sp>
                    <a:nvSpPr>
                      <a:cNvPr id="5" name="TextBox 4"/>
                      <a:cNvSpPr txBox="1"/>
                    </a:nvSpPr>
                    <a:spPr>
                      <a:xfrm>
                        <a:off x="5334000" y="1143000"/>
                        <a:ext cx="400110" cy="685800"/>
                      </a:xfrm>
                      <a:prstGeom prst="rect">
                        <a:avLst/>
                      </a:prstGeom>
                      <a:noFill/>
                    </a:spPr>
                    <a:txSp>
                      <a:txBody>
                        <a:bodyPr vert="vert"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4A</a:t>
                          </a:r>
                          <a:endParaRPr lang="en-US" sz="1400" dirty="0"/>
                        </a:p>
                      </a:txBody>
                      <a:useSpRect/>
                    </a:txSp>
                  </a:sp>
                  <a:sp>
                    <a:nvSpPr>
                      <a:cNvPr id="6" name="TextBox 5"/>
                      <a:cNvSpPr txBox="1"/>
                    </a:nvSpPr>
                    <a:spPr>
                      <a:xfrm>
                        <a:off x="3124200" y="1219200"/>
                        <a:ext cx="400110" cy="685800"/>
                      </a:xfrm>
                      <a:prstGeom prst="rect">
                        <a:avLst/>
                      </a:prstGeom>
                      <a:noFill/>
                    </a:spPr>
                    <a:txSp>
                      <a:txBody>
                        <a:bodyPr vert="vert"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2+</a:t>
                          </a:r>
                          <a:endParaRPr lang="en-US" sz="1400" dirty="0"/>
                        </a:p>
                      </a:txBody>
                      <a:useSpRect/>
                    </a:txSp>
                  </a:sp>
                  <a:sp>
                    <a:nvSpPr>
                      <a:cNvPr id="7" name="TextBox 6"/>
                      <a:cNvSpPr txBox="1"/>
                    </a:nvSpPr>
                    <a:spPr>
                      <a:xfrm>
                        <a:off x="3352800" y="1219200"/>
                        <a:ext cx="400110" cy="685800"/>
                      </a:xfrm>
                      <a:prstGeom prst="rect">
                        <a:avLst/>
                      </a:prstGeom>
                      <a:noFill/>
                    </a:spPr>
                    <a:txSp>
                      <a:txBody>
                        <a:bodyPr vert="vert"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1+</a:t>
                          </a:r>
                          <a:endParaRPr lang="en-US" sz="1400" dirty="0"/>
                        </a:p>
                      </a:txBody>
                      <a:useSpRect/>
                    </a:txSp>
                  </a:sp>
                  <a:sp>
                    <a:nvSpPr>
                      <a:cNvPr id="8" name="TextBox 7"/>
                      <a:cNvSpPr txBox="1"/>
                    </a:nvSpPr>
                    <a:spPr>
                      <a:xfrm>
                        <a:off x="3581400" y="1219200"/>
                        <a:ext cx="400110" cy="685800"/>
                      </a:xfrm>
                      <a:prstGeom prst="rect">
                        <a:avLst/>
                      </a:prstGeom>
                      <a:noFill/>
                    </a:spPr>
                    <a:txSp>
                      <a:txBody>
                        <a:bodyPr vert="vert"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6B</a:t>
                          </a:r>
                          <a:endParaRPr lang="en-US" sz="1400" dirty="0"/>
                        </a:p>
                      </a:txBody>
                      <a:useSpRect/>
                    </a:txSp>
                  </a:sp>
                  <a:sp>
                    <a:nvSpPr>
                      <a:cNvPr id="9" name="TextBox 8"/>
                      <a:cNvSpPr txBox="1"/>
                    </a:nvSpPr>
                    <a:spPr>
                      <a:xfrm>
                        <a:off x="3810000" y="1219200"/>
                        <a:ext cx="400110" cy="685800"/>
                      </a:xfrm>
                      <a:prstGeom prst="rect">
                        <a:avLst/>
                      </a:prstGeom>
                      <a:noFill/>
                    </a:spPr>
                    <a:txSp>
                      <a:txBody>
                        <a:bodyPr vert="vert"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5B</a:t>
                          </a:r>
                          <a:endParaRPr lang="en-US" sz="1400" dirty="0"/>
                        </a:p>
                      </a:txBody>
                      <a:useSpRect/>
                    </a:txSp>
                  </a:sp>
                  <a:sp>
                    <a:nvSpPr>
                      <a:cNvPr id="10" name="TextBox 9"/>
                      <a:cNvSpPr txBox="1"/>
                    </a:nvSpPr>
                    <a:spPr>
                      <a:xfrm>
                        <a:off x="4038600" y="1219200"/>
                        <a:ext cx="400110" cy="685800"/>
                      </a:xfrm>
                      <a:prstGeom prst="rect">
                        <a:avLst/>
                      </a:prstGeom>
                      <a:noFill/>
                    </a:spPr>
                    <a:txSp>
                      <a:txBody>
                        <a:bodyPr vert="vert"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4B</a:t>
                          </a:r>
                          <a:endParaRPr lang="en-US" sz="1400" dirty="0"/>
                        </a:p>
                      </a:txBody>
                      <a:useSpRect/>
                    </a:txSp>
                  </a:sp>
                  <a:sp>
                    <a:nvSpPr>
                      <a:cNvPr id="11" name="TextBox 10"/>
                      <a:cNvSpPr txBox="1"/>
                    </a:nvSpPr>
                    <a:spPr>
                      <a:xfrm>
                        <a:off x="4267200" y="1219200"/>
                        <a:ext cx="400110" cy="685800"/>
                      </a:xfrm>
                      <a:prstGeom prst="rect">
                        <a:avLst/>
                      </a:prstGeom>
                      <a:noFill/>
                    </a:spPr>
                    <a:txSp>
                      <a:txBody>
                        <a:bodyPr vert="vert"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3B</a:t>
                          </a:r>
                          <a:endParaRPr lang="en-US" sz="1400" dirty="0"/>
                        </a:p>
                      </a:txBody>
                      <a:useSpRect/>
                    </a:txSp>
                  </a:sp>
                  <a:sp>
                    <a:nvSpPr>
                      <a:cNvPr id="12" name="TextBox 11"/>
                      <a:cNvSpPr txBox="1"/>
                    </a:nvSpPr>
                    <a:spPr>
                      <a:xfrm>
                        <a:off x="4495800" y="1219200"/>
                        <a:ext cx="400110" cy="685800"/>
                      </a:xfrm>
                      <a:prstGeom prst="rect">
                        <a:avLst/>
                      </a:prstGeom>
                      <a:noFill/>
                    </a:spPr>
                    <a:txSp>
                      <a:txBody>
                        <a:bodyPr vert="vert"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2B</a:t>
                          </a:r>
                          <a:endParaRPr lang="en-US" sz="1400" dirty="0"/>
                        </a:p>
                      </a:txBody>
                      <a:useSpRect/>
                    </a:txSp>
                  </a:sp>
                  <a:sp>
                    <a:nvSpPr>
                      <a:cNvPr id="13" name="TextBox 12"/>
                      <a:cNvSpPr txBox="1"/>
                    </a:nvSpPr>
                    <a:spPr>
                      <a:xfrm>
                        <a:off x="4724400" y="1219200"/>
                        <a:ext cx="400110" cy="685800"/>
                      </a:xfrm>
                      <a:prstGeom prst="rect">
                        <a:avLst/>
                      </a:prstGeom>
                      <a:noFill/>
                    </a:spPr>
                    <a:txSp>
                      <a:txBody>
                        <a:bodyPr vert="vert"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1B</a:t>
                          </a:r>
                          <a:endParaRPr lang="en-US" sz="1400" dirty="0"/>
                        </a:p>
                      </a:txBody>
                      <a:useSpRect/>
                    </a:txSp>
                  </a:sp>
                  <a:sp>
                    <a:nvSpPr>
                      <a:cNvPr id="14" name="TextBox 13"/>
                      <a:cNvSpPr txBox="1"/>
                    </a:nvSpPr>
                    <a:spPr>
                      <a:xfrm>
                        <a:off x="4953000" y="1143000"/>
                        <a:ext cx="400110" cy="685800"/>
                      </a:xfrm>
                      <a:prstGeom prst="rect">
                        <a:avLst/>
                      </a:prstGeom>
                      <a:noFill/>
                    </a:spPr>
                    <a:txSp>
                      <a:txBody>
                        <a:bodyPr vert="vert"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6A</a:t>
                          </a:r>
                          <a:endParaRPr lang="en-US" sz="1400" dirty="0"/>
                        </a:p>
                      </a:txBody>
                      <a:useSpRect/>
                    </a:txSp>
                  </a:sp>
                  <a:sp>
                    <a:nvSpPr>
                      <a:cNvPr id="15" name="TextBox 14"/>
                      <a:cNvSpPr txBox="1"/>
                    </a:nvSpPr>
                    <a:spPr>
                      <a:xfrm>
                        <a:off x="5181600" y="1143000"/>
                        <a:ext cx="400110" cy="685800"/>
                      </a:xfrm>
                      <a:prstGeom prst="rect">
                        <a:avLst/>
                      </a:prstGeom>
                      <a:noFill/>
                    </a:spPr>
                    <a:txSp>
                      <a:txBody>
                        <a:bodyPr vert="vert"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5A</a:t>
                          </a:r>
                          <a:endParaRPr lang="en-US" sz="1400" dirty="0"/>
                        </a:p>
                      </a:txBody>
                      <a:useSpRect/>
                    </a:txSp>
                  </a:sp>
                  <a:sp>
                    <a:nvSpPr>
                      <a:cNvPr id="16" name="TextBox 15"/>
                      <a:cNvSpPr txBox="1"/>
                    </a:nvSpPr>
                    <a:spPr>
                      <a:xfrm>
                        <a:off x="5562600" y="1143000"/>
                        <a:ext cx="400110" cy="685800"/>
                      </a:xfrm>
                      <a:prstGeom prst="rect">
                        <a:avLst/>
                      </a:prstGeom>
                      <a:noFill/>
                    </a:spPr>
                    <a:txSp>
                      <a:txBody>
                        <a:bodyPr vert="vert"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3A</a:t>
                          </a:r>
                          <a:endParaRPr lang="en-US" sz="1400" dirty="0"/>
                        </a:p>
                      </a:txBody>
                      <a:useSpRect/>
                    </a:txSp>
                  </a:sp>
                  <a:sp>
                    <a:nvSpPr>
                      <a:cNvPr id="17" name="TextBox 16"/>
                      <a:cNvSpPr txBox="1"/>
                    </a:nvSpPr>
                    <a:spPr>
                      <a:xfrm>
                        <a:off x="5791200" y="1143000"/>
                        <a:ext cx="400110" cy="685800"/>
                      </a:xfrm>
                      <a:prstGeom prst="rect">
                        <a:avLst/>
                      </a:prstGeom>
                      <a:noFill/>
                    </a:spPr>
                    <a:txSp>
                      <a:txBody>
                        <a:bodyPr vert="vert"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2A</a:t>
                          </a:r>
                        </a:p>
                      </a:txBody>
                      <a:useSpRect/>
                    </a:txSp>
                  </a:sp>
                  <a:sp>
                    <a:nvSpPr>
                      <a:cNvPr id="18" name="TextBox 17"/>
                      <a:cNvSpPr txBox="1"/>
                    </a:nvSpPr>
                    <a:spPr>
                      <a:xfrm>
                        <a:off x="6096000" y="1143000"/>
                        <a:ext cx="400110" cy="685800"/>
                      </a:xfrm>
                      <a:prstGeom prst="rect">
                        <a:avLst/>
                      </a:prstGeom>
                      <a:noFill/>
                    </a:spPr>
                    <a:txSp>
                      <a:txBody>
                        <a:bodyPr vert="vert"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1A</a:t>
                          </a:r>
                          <a:endParaRPr lang="en-US" sz="1400" dirty="0"/>
                        </a:p>
                      </a:txBody>
                      <a:useSpRect/>
                    </a:txSp>
                  </a:sp>
                  <a:sp>
                    <a:nvSpPr>
                      <a:cNvPr id="19" name="Left Brace 18"/>
                      <a:cNvSpPr/>
                    </a:nvSpPr>
                    <a:spPr>
                      <a:xfrm rot="16200000" flipV="1">
                        <a:off x="4495800" y="1905000"/>
                        <a:ext cx="457200" cy="2895600"/>
                      </a:xfrm>
                      <a:prstGeom prst="leftBrace">
                        <a:avLst>
                          <a:gd name="adj1" fmla="val 8333"/>
                          <a:gd name="adj2" fmla="val 49435"/>
                        </a:avLst>
                      </a:prstGeom>
                      <a:ln>
                        <a:solidFill>
                          <a:schemeClr val="bg1"/>
                        </a:solidFill>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2">
                        <a:schemeClr val="dk1"/>
                      </a:lnRef>
                      <a:fillRef idx="0">
                        <a:schemeClr val="dk1"/>
                      </a:fillRef>
                      <a:effectRef idx="1">
                        <a:schemeClr val="dk1"/>
                      </a:effectRef>
                      <a:fontRef idx="minor">
                        <a:schemeClr val="tx1"/>
                      </a:fontRef>
                    </a:style>
                  </a:sp>
                  <a:sp>
                    <a:nvSpPr>
                      <a:cNvPr id="20" name="Left Brace 19"/>
                      <a:cNvSpPr/>
                    </a:nvSpPr>
                    <a:spPr>
                      <a:xfrm rot="16200000" flipV="1">
                        <a:off x="2438400" y="2819400"/>
                        <a:ext cx="457200" cy="1066800"/>
                      </a:xfrm>
                      <a:prstGeom prst="leftBrace">
                        <a:avLst>
                          <a:gd name="adj1" fmla="val 8333"/>
                          <a:gd name="adj2" fmla="val 49435"/>
                        </a:avLst>
                      </a:prstGeom>
                      <a:ln>
                        <a:solidFill>
                          <a:schemeClr val="bg1"/>
                        </a:solidFill>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2">
                        <a:schemeClr val="dk1"/>
                      </a:lnRef>
                      <a:fillRef idx="0">
                        <a:schemeClr val="dk1"/>
                      </a:fillRef>
                      <a:effectRef idx="1">
                        <a:schemeClr val="dk1"/>
                      </a:effectRef>
                      <a:fontRef idx="minor">
                        <a:schemeClr val="tx1"/>
                      </a:fontRef>
                    </a:style>
                  </a:sp>
                  <a:sp>
                    <a:nvSpPr>
                      <a:cNvPr id="21" name="TextBox 20"/>
                      <a:cNvSpPr txBox="1"/>
                    </a:nvSpPr>
                    <a:spPr>
                      <a:xfrm>
                        <a:off x="3962400" y="3581400"/>
                        <a:ext cx="25146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solidFill>
                                <a:schemeClr val="bg1"/>
                              </a:solidFill>
                            </a:rPr>
                            <a:t>Plasmid Isolation</a:t>
                          </a:r>
                          <a:endParaRPr lang="en-US" dirty="0">
                            <a:solidFill>
                              <a:schemeClr val="bg1"/>
                            </a:solidFill>
                          </a:endParaRPr>
                        </a:p>
                      </a:txBody>
                      <a:useSpRect/>
                    </a:txSp>
                  </a:sp>
                  <a:sp>
                    <a:nvSpPr>
                      <a:cNvPr id="22" name="TextBox 21"/>
                      <a:cNvSpPr txBox="1"/>
                    </a:nvSpPr>
                    <a:spPr>
                      <a:xfrm>
                        <a:off x="1981200" y="3581400"/>
                        <a:ext cx="21336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solidFill>
                                <a:schemeClr val="bg1"/>
                              </a:solidFill>
                            </a:rPr>
                            <a:t>Gel Extraction</a:t>
                          </a:r>
                          <a:endParaRPr lang="en-US" dirty="0">
                            <a:solidFill>
                              <a:schemeClr val="bg1"/>
                            </a:solidFill>
                          </a:endParaRPr>
                        </a:p>
                      </a:txBody>
                      <a:useSpRect/>
                    </a:txSp>
                  </a:sp>
                  <a:sp>
                    <a:nvSpPr>
                      <a:cNvPr id="23" name="TextBox 22"/>
                      <a:cNvSpPr txBox="1"/>
                    </a:nvSpPr>
                    <a:spPr>
                      <a:xfrm>
                        <a:off x="2895600" y="1143000"/>
                        <a:ext cx="400110" cy="762000"/>
                      </a:xfrm>
                      <a:prstGeom prst="rect">
                        <a:avLst/>
                      </a:prstGeom>
                      <a:noFill/>
                    </a:spPr>
                    <a:txSp>
                      <a:txBody>
                        <a:bodyPr vert="vert"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1C</a:t>
                          </a:r>
                        </a:p>
                      </a:txBody>
                      <a:useSpRect/>
                    </a:txSp>
                  </a:sp>
                  <a:sp>
                    <a:nvSpPr>
                      <a:cNvPr id="24" name="TextBox 23"/>
                      <a:cNvSpPr txBox="1"/>
                    </a:nvSpPr>
                    <a:spPr>
                      <a:xfrm>
                        <a:off x="2667000" y="1143000"/>
                        <a:ext cx="400110" cy="762000"/>
                      </a:xfrm>
                      <a:prstGeom prst="rect">
                        <a:avLst/>
                      </a:prstGeom>
                      <a:noFill/>
                    </a:spPr>
                    <a:txSp>
                      <a:txBody>
                        <a:bodyPr vert="vert"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2C</a:t>
                          </a:r>
                        </a:p>
                      </a:txBody>
                      <a:useSpRect/>
                    </a:txSp>
                  </a:sp>
                  <a:sp>
                    <a:nvSpPr>
                      <a:cNvPr id="25" name="TextBox 24"/>
                      <a:cNvSpPr txBox="1"/>
                    </a:nvSpPr>
                    <a:spPr>
                      <a:xfrm>
                        <a:off x="2514600" y="381000"/>
                        <a:ext cx="400110" cy="1143000"/>
                      </a:xfrm>
                      <a:prstGeom prst="rect">
                        <a:avLst/>
                      </a:prstGeom>
                      <a:noFill/>
                    </a:spPr>
                    <a:txSp>
                      <a:txBody>
                        <a:bodyPr vert="vert"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200bp Marker</a:t>
                          </a:r>
                        </a:p>
                      </a:txBody>
                      <a:useSpRect/>
                    </a:txSp>
                  </a:sp>
                  <a:sp>
                    <a:nvSpPr>
                      <a:cNvPr id="26" name="TextBox 25"/>
                      <a:cNvSpPr txBox="1"/>
                    </a:nvSpPr>
                    <a:spPr>
                      <a:xfrm>
                        <a:off x="2057400" y="1143000"/>
                        <a:ext cx="400110" cy="762000"/>
                      </a:xfrm>
                      <a:prstGeom prst="rect">
                        <a:avLst/>
                      </a:prstGeom>
                      <a:noFill/>
                    </a:spPr>
                    <a:txSp>
                      <a:txBody>
                        <a:bodyPr vert="vert"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2D</a:t>
                          </a:r>
                        </a:p>
                      </a:txBody>
                      <a:useSpRect/>
                    </a:txSp>
                  </a:sp>
                  <a:sp>
                    <a:nvSpPr>
                      <a:cNvPr id="27" name="TextBox 26"/>
                      <a:cNvSpPr txBox="1"/>
                    </a:nvSpPr>
                    <a:spPr>
                      <a:xfrm>
                        <a:off x="2286000" y="1143000"/>
                        <a:ext cx="400110" cy="762000"/>
                      </a:xfrm>
                      <a:prstGeom prst="rect">
                        <a:avLst/>
                      </a:prstGeom>
                      <a:noFill/>
                    </a:spPr>
                    <a:txSp>
                      <a:txBody>
                        <a:bodyPr vert="vert"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1D</a:t>
                          </a:r>
                        </a:p>
                      </a:txBody>
                      <a:useSpRect/>
                    </a:txSp>
                  </a:sp>
                </lc:lockedCanvas>
              </a:graphicData>
            </a:graphic>
          </wp:inline>
        </w:drawing>
      </w:r>
    </w:p>
    <w:p w:rsidR="00C57DE4" w:rsidRDefault="00A76F49" w:rsidP="00F70ACA">
      <w:pPr>
        <w:rPr>
          <w:rFonts w:ascii="Cambria" w:hAnsi="Cambria"/>
        </w:rPr>
      </w:pPr>
      <w:r>
        <w:rPr>
          <w:rFonts w:ascii="Cambria" w:hAnsi="Cambria"/>
          <w:b/>
        </w:rPr>
        <w:t>Figure</w:t>
      </w:r>
      <w:r w:rsidR="002747EE">
        <w:rPr>
          <w:rFonts w:ascii="Cambria" w:hAnsi="Cambria"/>
          <w:b/>
        </w:rPr>
        <w:t xml:space="preserve"> 9</w:t>
      </w:r>
      <w:r>
        <w:rPr>
          <w:rFonts w:ascii="Cambria" w:hAnsi="Cambria"/>
          <w:b/>
        </w:rPr>
        <w:t xml:space="preserve">.  </w:t>
      </w:r>
      <w:r w:rsidR="00C57DE4">
        <w:rPr>
          <w:rFonts w:ascii="Cambria" w:hAnsi="Cambria"/>
        </w:rPr>
        <w:t>P</w:t>
      </w:r>
      <w:r>
        <w:rPr>
          <w:rFonts w:ascii="Cambria" w:hAnsi="Cambria"/>
        </w:rPr>
        <w:t xml:space="preserve">lasmid isolation </w:t>
      </w:r>
      <w:r w:rsidR="00C57DE4">
        <w:rPr>
          <w:rFonts w:ascii="Cambria" w:hAnsi="Cambria"/>
        </w:rPr>
        <w:t>of 12 recombinant colonies (A and B) and gel extraction (C and D).</w:t>
      </w:r>
      <w:r>
        <w:rPr>
          <w:rFonts w:ascii="Cambria" w:hAnsi="Cambria"/>
        </w:rPr>
        <w:t xml:space="preserve"> </w:t>
      </w:r>
    </w:p>
    <w:p w:rsidR="00A76F49" w:rsidRDefault="00A76F49" w:rsidP="00F70ACA">
      <w:pPr>
        <w:rPr>
          <w:rFonts w:ascii="Cambria" w:hAnsi="Cambria"/>
        </w:rPr>
      </w:pPr>
    </w:p>
    <w:p w:rsidR="00C57DE4" w:rsidRDefault="00C57DE4" w:rsidP="00F70ACA">
      <w:pPr>
        <w:rPr>
          <w:rFonts w:ascii="Cambria" w:hAnsi="Cambria"/>
        </w:rPr>
      </w:pPr>
    </w:p>
    <w:p w:rsidR="00C57DE4" w:rsidRPr="00BA752D" w:rsidRDefault="00C57DE4" w:rsidP="00BA752D">
      <w:pPr>
        <w:spacing w:line="480" w:lineRule="auto"/>
        <w:ind w:firstLine="720"/>
        <w:jc w:val="both"/>
        <w:rPr>
          <w:rFonts w:ascii="Cambria" w:hAnsi="Cambria"/>
        </w:rPr>
      </w:pPr>
      <w:r>
        <w:rPr>
          <w:rFonts w:ascii="Cambria" w:hAnsi="Cambria"/>
        </w:rPr>
        <w:t xml:space="preserve">The plasmid isolation products were restriction enzyme digested using </w:t>
      </w:r>
      <w:r w:rsidRPr="00EB1756">
        <w:rPr>
          <w:rFonts w:ascii="Cambria" w:hAnsi="Cambria"/>
          <w:i/>
        </w:rPr>
        <w:t>EcoR1</w:t>
      </w:r>
      <w:r>
        <w:rPr>
          <w:rFonts w:ascii="Cambria" w:hAnsi="Cambria"/>
        </w:rPr>
        <w:t>.  The procedure cut our fragment from the vector.  0.5 µl</w:t>
      </w:r>
      <w:r w:rsidR="00E37E75">
        <w:rPr>
          <w:rFonts w:ascii="Cambria" w:hAnsi="Cambria"/>
        </w:rPr>
        <w:t xml:space="preserve"> (10 u/10 µl)</w:t>
      </w:r>
      <w:r>
        <w:rPr>
          <w:rFonts w:ascii="Cambria" w:hAnsi="Cambria"/>
        </w:rPr>
        <w:t xml:space="preserve"> </w:t>
      </w:r>
      <w:r w:rsidRPr="00EB1756">
        <w:rPr>
          <w:rFonts w:ascii="Cambria" w:hAnsi="Cambria"/>
          <w:i/>
        </w:rPr>
        <w:t>EcoR1</w:t>
      </w:r>
      <w:r>
        <w:rPr>
          <w:rFonts w:ascii="Cambria" w:hAnsi="Cambria"/>
        </w:rPr>
        <w:t>, 5 µl plasmid isolation product, 1.9 µl (10</w:t>
      </w:r>
      <w:r w:rsidR="00F75B83">
        <w:rPr>
          <w:rFonts w:ascii="Cambria" w:hAnsi="Cambria"/>
        </w:rPr>
        <w:t>x</w:t>
      </w:r>
      <w:r>
        <w:rPr>
          <w:rFonts w:ascii="Cambria" w:hAnsi="Cambria"/>
        </w:rPr>
        <w:t>) buffer and 3.0 µl H</w:t>
      </w:r>
      <w:r w:rsidRPr="00110FEE">
        <w:rPr>
          <w:rFonts w:ascii="Cambria" w:hAnsi="Cambria"/>
          <w:vertAlign w:val="subscript"/>
        </w:rPr>
        <w:t>2</w:t>
      </w:r>
      <w:r>
        <w:rPr>
          <w:rFonts w:ascii="Cambria" w:hAnsi="Cambria"/>
        </w:rPr>
        <w:t xml:space="preserve">0 were incubated at 37°C for 10 </w:t>
      </w:r>
      <w:r w:rsidRPr="00BA752D">
        <w:rPr>
          <w:rFonts w:ascii="Cambria" w:hAnsi="Cambria"/>
        </w:rPr>
        <w:t>minutes</w:t>
      </w:r>
      <w:r w:rsidR="00E37E75">
        <w:rPr>
          <w:rFonts w:ascii="Cambria" w:hAnsi="Cambria"/>
        </w:rPr>
        <w:t>.</w:t>
      </w:r>
    </w:p>
    <w:p w:rsidR="00543C1A" w:rsidRPr="00BA752D" w:rsidRDefault="00C57DE4" w:rsidP="00BA752D">
      <w:pPr>
        <w:spacing w:line="480" w:lineRule="auto"/>
        <w:ind w:firstLine="720"/>
        <w:jc w:val="both"/>
      </w:pPr>
      <w:r w:rsidRPr="00BA752D">
        <w:rPr>
          <w:rFonts w:ascii="Cambria" w:hAnsi="Cambria"/>
        </w:rPr>
        <w:t xml:space="preserve">The plasmid isolation digestion products were run a 1.0% </w:t>
      </w:r>
      <w:proofErr w:type="spellStart"/>
      <w:r w:rsidRPr="00BA752D">
        <w:rPr>
          <w:rFonts w:ascii="Cambria" w:hAnsi="Cambria"/>
        </w:rPr>
        <w:t>agarose</w:t>
      </w:r>
      <w:proofErr w:type="spellEnd"/>
      <w:r w:rsidRPr="00BA752D">
        <w:rPr>
          <w:rFonts w:ascii="Cambria" w:hAnsi="Cambria"/>
        </w:rPr>
        <w:t xml:space="preserve"> gel (Figure 10).  Two bands were visible as expected, one for the </w:t>
      </w:r>
      <w:proofErr w:type="spellStart"/>
      <w:r w:rsidRPr="00BA752D">
        <w:rPr>
          <w:rFonts w:ascii="Cambria" w:hAnsi="Cambria"/>
          <w:i/>
        </w:rPr>
        <w:t>FaQR</w:t>
      </w:r>
      <w:proofErr w:type="spellEnd"/>
      <w:r w:rsidRPr="00BA752D">
        <w:rPr>
          <w:rFonts w:ascii="Cambria" w:hAnsi="Cambria"/>
        </w:rPr>
        <w:t xml:space="preserve"> fragment and one for the vector. </w:t>
      </w:r>
      <w:r w:rsidR="00BA752D" w:rsidRPr="00BA752D">
        <w:rPr>
          <w:rFonts w:ascii="Cambria" w:hAnsi="Cambria"/>
        </w:rPr>
        <w:t xml:space="preserve">1A – 6A were hard to read since loading dye was accidently added.  3A and 2B were either very faint bands or lost.  1B, 3B-6B </w:t>
      </w:r>
      <w:proofErr w:type="gramStart"/>
      <w:r w:rsidR="00BA752D" w:rsidRPr="00BA752D">
        <w:rPr>
          <w:rFonts w:ascii="Cambria" w:hAnsi="Cambria"/>
        </w:rPr>
        <w:t>have</w:t>
      </w:r>
      <w:proofErr w:type="gramEnd"/>
      <w:r w:rsidR="00BA752D" w:rsidRPr="00BA752D">
        <w:rPr>
          <w:rFonts w:ascii="Cambria" w:hAnsi="Cambria"/>
        </w:rPr>
        <w:t xml:space="preserve"> very concentrated DNA.  It is unclear which are bands of interest due to highly concentrated DNA. </w:t>
      </w:r>
      <w:r w:rsidR="00BA752D">
        <w:t xml:space="preserve"> </w:t>
      </w:r>
      <w:r w:rsidRPr="00BA752D">
        <w:rPr>
          <w:rFonts w:ascii="Cambria" w:hAnsi="Cambria"/>
        </w:rPr>
        <w:t xml:space="preserve">2A and 5B plasmid isolation digestions were sent to Iowa State DNA Synthesis and Sequencing facility to be sequenced to check for the desired </w:t>
      </w:r>
      <w:proofErr w:type="spellStart"/>
      <w:r w:rsidRPr="00BA752D">
        <w:rPr>
          <w:rFonts w:ascii="Cambria" w:hAnsi="Cambria"/>
          <w:i/>
        </w:rPr>
        <w:t>FaQR</w:t>
      </w:r>
      <w:proofErr w:type="spellEnd"/>
      <w:r w:rsidRPr="00BA752D">
        <w:rPr>
          <w:rFonts w:ascii="Cambria" w:hAnsi="Cambria"/>
        </w:rPr>
        <w:t xml:space="preserve"> fragment.</w:t>
      </w:r>
    </w:p>
    <w:p w:rsidR="00543C1A" w:rsidRDefault="00543C1A" w:rsidP="00F70ACA">
      <w:pPr>
        <w:rPr>
          <w:rFonts w:ascii="Cambria" w:hAnsi="Cambria"/>
          <w:b/>
        </w:rPr>
      </w:pPr>
      <w:r w:rsidRPr="00543C1A">
        <w:rPr>
          <w:rFonts w:ascii="Cambria" w:hAnsi="Cambria"/>
          <w:b/>
          <w:noProof/>
        </w:rPr>
        <w:drawing>
          <wp:inline distT="0" distB="0" distL="0" distR="0">
            <wp:extent cx="2939811" cy="2467155"/>
            <wp:effectExtent l="19050" t="0" r="0" b="0"/>
            <wp:docPr id="7" name="Object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105400" cy="4501116"/>
                      <a:chOff x="2057400" y="1676400"/>
                      <a:chExt cx="5105400" cy="4501116"/>
                    </a:xfrm>
                  </a:grpSpPr>
                  <a:pic>
                    <a:nvPicPr>
                      <a:cNvPr id="2" name="Picture 2" descr="E:\img001.jpg"/>
                      <a:cNvPicPr>
                        <a:picLocks noChangeAspect="1" noChangeArrowheads="1"/>
                      </a:cNvPicPr>
                    </a:nvPicPr>
                    <a:blipFill>
                      <a:blip r:embed="rId13" cstate="print"/>
                      <a:srcRect l="7668" t="8591" r="23323"/>
                      <a:stretch>
                        <a:fillRect/>
                      </a:stretch>
                    </a:blipFill>
                    <a:spPr bwMode="auto">
                      <a:xfrm rot="5400000">
                        <a:off x="3007242" y="2021958"/>
                        <a:ext cx="3205716" cy="5105400"/>
                      </a:xfrm>
                      <a:prstGeom prst="rect">
                        <a:avLst/>
                      </a:prstGeom>
                      <a:noFill/>
                    </a:spPr>
                  </a:pic>
                  <a:sp>
                    <a:nvSpPr>
                      <a:cNvPr id="3" name="TextBox 2"/>
                      <a:cNvSpPr txBox="1"/>
                    </a:nvSpPr>
                    <a:spPr>
                      <a:xfrm>
                        <a:off x="5562600" y="2590800"/>
                        <a:ext cx="400110" cy="685800"/>
                      </a:xfrm>
                      <a:prstGeom prst="rect">
                        <a:avLst/>
                      </a:prstGeom>
                      <a:noFill/>
                    </a:spPr>
                    <a:txSp>
                      <a:txBody>
                        <a:bodyPr vert="vert"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4A</a:t>
                          </a:r>
                          <a:endParaRPr lang="en-US" sz="1400" dirty="0"/>
                        </a:p>
                      </a:txBody>
                      <a:useSpRect/>
                    </a:txSp>
                  </a:sp>
                  <a:sp>
                    <a:nvSpPr>
                      <a:cNvPr id="4" name="TextBox 3"/>
                      <a:cNvSpPr txBox="1"/>
                    </a:nvSpPr>
                    <a:spPr>
                      <a:xfrm>
                        <a:off x="3429000" y="2590800"/>
                        <a:ext cx="400110" cy="685800"/>
                      </a:xfrm>
                      <a:prstGeom prst="rect">
                        <a:avLst/>
                      </a:prstGeom>
                      <a:noFill/>
                    </a:spPr>
                    <a:txSp>
                      <a:txBody>
                        <a:bodyPr vert="vert"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5B</a:t>
                          </a:r>
                          <a:endParaRPr lang="en-US" sz="1400" dirty="0"/>
                        </a:p>
                      </a:txBody>
                      <a:useSpRect/>
                    </a:txSp>
                  </a:sp>
                  <a:sp>
                    <a:nvSpPr>
                      <a:cNvPr id="5" name="TextBox 4"/>
                      <a:cNvSpPr txBox="1"/>
                    </a:nvSpPr>
                    <a:spPr>
                      <a:xfrm>
                        <a:off x="3733800" y="2590800"/>
                        <a:ext cx="400110" cy="685800"/>
                      </a:xfrm>
                      <a:prstGeom prst="rect">
                        <a:avLst/>
                      </a:prstGeom>
                      <a:noFill/>
                    </a:spPr>
                    <a:txSp>
                      <a:txBody>
                        <a:bodyPr vert="vert"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4B</a:t>
                          </a:r>
                          <a:endParaRPr lang="en-US" sz="1400" dirty="0"/>
                        </a:p>
                      </a:txBody>
                      <a:useSpRect/>
                    </a:txSp>
                  </a:sp>
                  <a:sp>
                    <a:nvSpPr>
                      <a:cNvPr id="6" name="TextBox 5"/>
                      <a:cNvSpPr txBox="1"/>
                    </a:nvSpPr>
                    <a:spPr>
                      <a:xfrm>
                        <a:off x="4038600" y="2590800"/>
                        <a:ext cx="400110" cy="685800"/>
                      </a:xfrm>
                      <a:prstGeom prst="rect">
                        <a:avLst/>
                      </a:prstGeom>
                      <a:noFill/>
                    </a:spPr>
                    <a:txSp>
                      <a:txBody>
                        <a:bodyPr vert="vert"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3B</a:t>
                          </a:r>
                          <a:endParaRPr lang="en-US" sz="1400" dirty="0"/>
                        </a:p>
                      </a:txBody>
                      <a:useSpRect/>
                    </a:txSp>
                  </a:sp>
                  <a:sp>
                    <a:nvSpPr>
                      <a:cNvPr id="7" name="TextBox 6"/>
                      <a:cNvSpPr txBox="1"/>
                    </a:nvSpPr>
                    <a:spPr>
                      <a:xfrm>
                        <a:off x="4343400" y="2590800"/>
                        <a:ext cx="400110" cy="685800"/>
                      </a:xfrm>
                      <a:prstGeom prst="rect">
                        <a:avLst/>
                      </a:prstGeom>
                      <a:noFill/>
                    </a:spPr>
                    <a:txSp>
                      <a:txBody>
                        <a:bodyPr vert="vert"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2B</a:t>
                          </a:r>
                          <a:endParaRPr lang="en-US" sz="1400" dirty="0"/>
                        </a:p>
                      </a:txBody>
                      <a:useSpRect/>
                    </a:txSp>
                  </a:sp>
                  <a:sp>
                    <a:nvSpPr>
                      <a:cNvPr id="8" name="TextBox 7"/>
                      <a:cNvSpPr txBox="1"/>
                    </a:nvSpPr>
                    <a:spPr>
                      <a:xfrm>
                        <a:off x="4648200" y="2590800"/>
                        <a:ext cx="400110" cy="685800"/>
                      </a:xfrm>
                      <a:prstGeom prst="rect">
                        <a:avLst/>
                      </a:prstGeom>
                      <a:noFill/>
                    </a:spPr>
                    <a:txSp>
                      <a:txBody>
                        <a:bodyPr vert="vert"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1B</a:t>
                          </a:r>
                          <a:endParaRPr lang="en-US" sz="1400" dirty="0"/>
                        </a:p>
                      </a:txBody>
                      <a:useSpRect/>
                    </a:txSp>
                  </a:sp>
                  <a:sp>
                    <a:nvSpPr>
                      <a:cNvPr id="9" name="TextBox 8"/>
                      <a:cNvSpPr txBox="1"/>
                    </a:nvSpPr>
                    <a:spPr>
                      <a:xfrm>
                        <a:off x="4953000" y="2590800"/>
                        <a:ext cx="400110" cy="685800"/>
                      </a:xfrm>
                      <a:prstGeom prst="rect">
                        <a:avLst/>
                      </a:prstGeom>
                      <a:noFill/>
                    </a:spPr>
                    <a:txSp>
                      <a:txBody>
                        <a:bodyPr vert="vert"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6A</a:t>
                          </a:r>
                          <a:endParaRPr lang="en-US" sz="1400" dirty="0"/>
                        </a:p>
                      </a:txBody>
                      <a:useSpRect/>
                    </a:txSp>
                  </a:sp>
                  <a:sp>
                    <a:nvSpPr>
                      <a:cNvPr id="10" name="TextBox 9"/>
                      <a:cNvSpPr txBox="1"/>
                    </a:nvSpPr>
                    <a:spPr>
                      <a:xfrm>
                        <a:off x="5257800" y="2590800"/>
                        <a:ext cx="400110" cy="685800"/>
                      </a:xfrm>
                      <a:prstGeom prst="rect">
                        <a:avLst/>
                      </a:prstGeom>
                      <a:noFill/>
                    </a:spPr>
                    <a:txSp>
                      <a:txBody>
                        <a:bodyPr vert="vert"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5A</a:t>
                          </a:r>
                          <a:endParaRPr lang="en-US" sz="1400" dirty="0"/>
                        </a:p>
                      </a:txBody>
                      <a:useSpRect/>
                    </a:txSp>
                  </a:sp>
                  <a:sp>
                    <a:nvSpPr>
                      <a:cNvPr id="11" name="TextBox 10"/>
                      <a:cNvSpPr txBox="1"/>
                    </a:nvSpPr>
                    <a:spPr>
                      <a:xfrm>
                        <a:off x="5867400" y="2590800"/>
                        <a:ext cx="400110" cy="685800"/>
                      </a:xfrm>
                      <a:prstGeom prst="rect">
                        <a:avLst/>
                      </a:prstGeom>
                      <a:noFill/>
                    </a:spPr>
                    <a:txSp>
                      <a:txBody>
                        <a:bodyPr vert="vert"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3A</a:t>
                          </a:r>
                          <a:endParaRPr lang="en-US" sz="1400" dirty="0"/>
                        </a:p>
                      </a:txBody>
                      <a:useSpRect/>
                    </a:txSp>
                  </a:sp>
                  <a:sp>
                    <a:nvSpPr>
                      <a:cNvPr id="12" name="TextBox 11"/>
                      <a:cNvSpPr txBox="1"/>
                    </a:nvSpPr>
                    <a:spPr>
                      <a:xfrm>
                        <a:off x="6172200" y="2590800"/>
                        <a:ext cx="400110" cy="685800"/>
                      </a:xfrm>
                      <a:prstGeom prst="rect">
                        <a:avLst/>
                      </a:prstGeom>
                      <a:noFill/>
                    </a:spPr>
                    <a:txSp>
                      <a:txBody>
                        <a:bodyPr vert="vert"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2A</a:t>
                          </a:r>
                        </a:p>
                      </a:txBody>
                      <a:useSpRect/>
                    </a:txSp>
                  </a:sp>
                  <a:sp>
                    <a:nvSpPr>
                      <a:cNvPr id="13" name="TextBox 12"/>
                      <a:cNvSpPr txBox="1"/>
                    </a:nvSpPr>
                    <a:spPr>
                      <a:xfrm>
                        <a:off x="6477000" y="2590800"/>
                        <a:ext cx="400110" cy="685800"/>
                      </a:xfrm>
                      <a:prstGeom prst="rect">
                        <a:avLst/>
                      </a:prstGeom>
                      <a:noFill/>
                    </a:spPr>
                    <a:txSp>
                      <a:txBody>
                        <a:bodyPr vert="vert"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1A</a:t>
                          </a:r>
                          <a:endParaRPr lang="en-US" sz="1400" dirty="0"/>
                        </a:p>
                      </a:txBody>
                      <a:useSpRect/>
                    </a:txSp>
                  </a:sp>
                  <a:sp>
                    <a:nvSpPr>
                      <a:cNvPr id="14" name="TextBox 13"/>
                      <a:cNvSpPr txBox="1"/>
                    </a:nvSpPr>
                    <a:spPr>
                      <a:xfrm>
                        <a:off x="3124200" y="2590800"/>
                        <a:ext cx="400110" cy="685800"/>
                      </a:xfrm>
                      <a:prstGeom prst="rect">
                        <a:avLst/>
                      </a:prstGeom>
                      <a:noFill/>
                    </a:spPr>
                    <a:txSp>
                      <a:txBody>
                        <a:bodyPr vert="vert"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6</a:t>
                          </a:r>
                          <a:r>
                            <a:rPr lang="en-US" sz="1400" dirty="0" smtClean="0"/>
                            <a:t>B</a:t>
                          </a:r>
                          <a:endParaRPr lang="en-US" sz="1400" dirty="0"/>
                        </a:p>
                      </a:txBody>
                      <a:useSpRect/>
                    </a:txSp>
                  </a:sp>
                  <a:sp>
                    <a:nvSpPr>
                      <a:cNvPr id="15" name="TextBox 14"/>
                      <a:cNvSpPr txBox="1"/>
                    </a:nvSpPr>
                    <a:spPr>
                      <a:xfrm>
                        <a:off x="2819400" y="1676400"/>
                        <a:ext cx="400110" cy="1371600"/>
                      </a:xfrm>
                      <a:prstGeom prst="rect">
                        <a:avLst/>
                      </a:prstGeom>
                      <a:noFill/>
                    </a:spPr>
                    <a:txSp>
                      <a:txBody>
                        <a:bodyPr vert="vert"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200bp Marker</a:t>
                          </a:r>
                        </a:p>
                      </a:txBody>
                      <a:useSpRect/>
                    </a:txSp>
                  </a:sp>
                </lc:lockedCanvas>
              </a:graphicData>
            </a:graphic>
          </wp:inline>
        </w:drawing>
      </w:r>
    </w:p>
    <w:p w:rsidR="00F96635" w:rsidRPr="00A76F49" w:rsidRDefault="00A76F49" w:rsidP="00F70ACA">
      <w:r>
        <w:rPr>
          <w:rFonts w:ascii="Cambria" w:hAnsi="Cambria"/>
          <w:b/>
        </w:rPr>
        <w:t>Figure</w:t>
      </w:r>
      <w:r w:rsidR="00DE033B">
        <w:rPr>
          <w:rFonts w:ascii="Cambria" w:hAnsi="Cambria"/>
          <w:b/>
        </w:rPr>
        <w:t xml:space="preserve"> 10</w:t>
      </w:r>
      <w:r>
        <w:rPr>
          <w:rFonts w:ascii="Cambria" w:hAnsi="Cambria"/>
          <w:b/>
        </w:rPr>
        <w:t xml:space="preserve">.   </w:t>
      </w:r>
      <w:r>
        <w:rPr>
          <w:rFonts w:ascii="Cambria" w:hAnsi="Cambria"/>
        </w:rPr>
        <w:t xml:space="preserve">Results from plasmid isolation digestion. </w:t>
      </w:r>
    </w:p>
    <w:p w:rsidR="00C57DE4" w:rsidRDefault="00C57DE4" w:rsidP="00E50735">
      <w:pPr>
        <w:spacing w:line="480" w:lineRule="auto"/>
        <w:rPr>
          <w:b/>
        </w:rPr>
      </w:pPr>
    </w:p>
    <w:p w:rsidR="00C57DE4" w:rsidRDefault="00C57DE4" w:rsidP="00C57DE4">
      <w:pPr>
        <w:spacing w:line="480" w:lineRule="auto"/>
        <w:rPr>
          <w:rFonts w:ascii="Cambria" w:hAnsi="Cambria"/>
        </w:rPr>
      </w:pPr>
      <w:r>
        <w:tab/>
        <w:t xml:space="preserve">After plasmid isolation digestion (Figure 10), two bands were expected; one at 1914 nucleotides (the 1792 </w:t>
      </w:r>
      <w:proofErr w:type="spellStart"/>
      <w:r>
        <w:t>bp</w:t>
      </w:r>
      <w:proofErr w:type="spellEnd"/>
      <w:r>
        <w:t xml:space="preserve"> </w:t>
      </w:r>
      <w:proofErr w:type="spellStart"/>
      <w:r w:rsidRPr="002752B5">
        <w:rPr>
          <w:i/>
        </w:rPr>
        <w:t>FaQR</w:t>
      </w:r>
      <w:proofErr w:type="spellEnd"/>
      <w:r>
        <w:t xml:space="preserve"> fragment plus 52 and 70 </w:t>
      </w:r>
      <w:proofErr w:type="spellStart"/>
      <w:r>
        <w:t>bp</w:t>
      </w:r>
      <w:proofErr w:type="spellEnd"/>
      <w:r>
        <w:t xml:space="preserve"> from cutting with </w:t>
      </w:r>
      <w:r w:rsidRPr="002752B5">
        <w:rPr>
          <w:i/>
        </w:rPr>
        <w:t>EcorR1</w:t>
      </w:r>
      <w:r>
        <w:t xml:space="preserve">) and at 2878 nucleotides (the 3000 nucleotide vector minus 52 and 70 </w:t>
      </w:r>
      <w:proofErr w:type="spellStart"/>
      <w:proofErr w:type="gramStart"/>
      <w:r>
        <w:t>bp</w:t>
      </w:r>
      <w:proofErr w:type="spellEnd"/>
      <w:r>
        <w:t xml:space="preserve">  from</w:t>
      </w:r>
      <w:proofErr w:type="gramEnd"/>
      <w:r>
        <w:t xml:space="preserve"> cutting with </w:t>
      </w:r>
      <w:r w:rsidRPr="002752B5">
        <w:rPr>
          <w:i/>
        </w:rPr>
        <w:t>EcoR1</w:t>
      </w:r>
      <w:r>
        <w:t xml:space="preserve">).  Samples 1A – 6A were hard to read on the gel since </w:t>
      </w:r>
      <w:r>
        <w:rPr>
          <w:rFonts w:ascii="Cambria" w:hAnsi="Cambria"/>
        </w:rPr>
        <w:t xml:space="preserve">2 µl 200 </w:t>
      </w:r>
      <w:proofErr w:type="spellStart"/>
      <w:r>
        <w:rPr>
          <w:rFonts w:ascii="Cambria" w:hAnsi="Cambria"/>
        </w:rPr>
        <w:t>bp</w:t>
      </w:r>
      <w:proofErr w:type="spellEnd"/>
      <w:r>
        <w:rPr>
          <w:rFonts w:ascii="Cambria" w:hAnsi="Cambria"/>
        </w:rPr>
        <w:t xml:space="preserve"> ladder was added to products due to experimental error.  Samples 3A and 4B fragments were either lost during digestion or were too difficult to see on a gel.   Samples 1B and 3B – 6B had a very concentrated amount of DNA given the bright bands.  It is unclear which band is the gene of interest in some cases.  2A and 5B had bands closest to those of interest, so they were sent to Iowa State University to be sequenced.</w:t>
      </w:r>
    </w:p>
    <w:p w:rsidR="004C4FA7" w:rsidRDefault="00C57DE4" w:rsidP="00C57DE4">
      <w:pPr>
        <w:spacing w:line="480" w:lineRule="auto"/>
        <w:ind w:firstLine="720"/>
        <w:rPr>
          <w:rFonts w:ascii="Cambria" w:hAnsi="Cambria"/>
          <w:i/>
        </w:rPr>
      </w:pPr>
      <w:r>
        <w:rPr>
          <w:rFonts w:ascii="Cambria" w:hAnsi="Cambria"/>
        </w:rPr>
        <w:t xml:space="preserve">The BLAST (2009) nucleotide blasts of the experimental 2A and </w:t>
      </w:r>
      <w:r w:rsidR="00E37E75">
        <w:rPr>
          <w:rFonts w:ascii="Cambria" w:hAnsi="Cambria"/>
        </w:rPr>
        <w:t>5B sequences’</w:t>
      </w:r>
      <w:r>
        <w:rPr>
          <w:rFonts w:ascii="Cambria" w:hAnsi="Cambria"/>
        </w:rPr>
        <w:t xml:space="preserve"> top hits were all </w:t>
      </w:r>
      <w:proofErr w:type="spellStart"/>
      <w:r>
        <w:rPr>
          <w:rFonts w:ascii="Cambria" w:hAnsi="Cambria"/>
          <w:i/>
        </w:rPr>
        <w:t>Fragaria</w:t>
      </w:r>
      <w:proofErr w:type="spellEnd"/>
      <w:r>
        <w:rPr>
          <w:rFonts w:ascii="Cambria" w:hAnsi="Cambria"/>
          <w:i/>
        </w:rPr>
        <w:t xml:space="preserve"> x </w:t>
      </w:r>
      <w:proofErr w:type="spellStart"/>
      <w:r>
        <w:rPr>
          <w:rFonts w:ascii="Cambria" w:hAnsi="Cambria"/>
          <w:i/>
        </w:rPr>
        <w:t>ananassa</w:t>
      </w:r>
      <w:proofErr w:type="spellEnd"/>
      <w:r w:rsidR="00E37E75">
        <w:rPr>
          <w:rFonts w:ascii="Cambria" w:hAnsi="Cambria"/>
          <w:i/>
        </w:rPr>
        <w:t xml:space="preserve"> </w:t>
      </w:r>
      <w:r w:rsidR="00E37E75">
        <w:rPr>
          <w:rFonts w:ascii="Cambria" w:hAnsi="Cambria"/>
        </w:rPr>
        <w:t>with E values ranging from 0.0 to 8x10</w:t>
      </w:r>
      <w:r w:rsidR="00E37E75" w:rsidRPr="00E37E75">
        <w:rPr>
          <w:rFonts w:ascii="Cambria" w:hAnsi="Cambria"/>
          <w:vertAlign w:val="superscript"/>
        </w:rPr>
        <w:t>-131</w:t>
      </w:r>
      <w:r>
        <w:rPr>
          <w:rFonts w:ascii="Cambria" w:hAnsi="Cambria"/>
        </w:rPr>
        <w:t xml:space="preserve">.  The sequences were aligned with the AY158836, the </w:t>
      </w:r>
      <w:proofErr w:type="spellStart"/>
      <w:r>
        <w:rPr>
          <w:rFonts w:ascii="Cambria" w:hAnsi="Cambria"/>
          <w:i/>
        </w:rPr>
        <w:t>Fragaria</w:t>
      </w:r>
      <w:proofErr w:type="spellEnd"/>
      <w:r>
        <w:rPr>
          <w:rFonts w:ascii="Cambria" w:hAnsi="Cambria"/>
          <w:i/>
        </w:rPr>
        <w:t xml:space="preserve"> x </w:t>
      </w:r>
      <w:proofErr w:type="spellStart"/>
      <w:r>
        <w:rPr>
          <w:rFonts w:ascii="Cambria" w:hAnsi="Cambria"/>
          <w:i/>
        </w:rPr>
        <w:t>ananassa</w:t>
      </w:r>
      <w:proofErr w:type="spellEnd"/>
      <w:r>
        <w:rPr>
          <w:rFonts w:ascii="Cambria" w:hAnsi="Cambria"/>
        </w:rPr>
        <w:t xml:space="preserve"> </w:t>
      </w:r>
      <w:proofErr w:type="spellStart"/>
      <w:r>
        <w:rPr>
          <w:rFonts w:ascii="Cambria" w:hAnsi="Cambria"/>
        </w:rPr>
        <w:t>FaQR</w:t>
      </w:r>
      <w:proofErr w:type="spellEnd"/>
      <w:r>
        <w:rPr>
          <w:rFonts w:ascii="Cambria" w:hAnsi="Cambria"/>
        </w:rPr>
        <w:t xml:space="preserve"> DNA fragment, and had 95% identification from nucleotides 4708-5661.  The discrepancy is most likely due to strawberry variety variation.  Variety Mesabi was used in these experiments, but </w:t>
      </w:r>
      <w:r w:rsidR="008509D1">
        <w:rPr>
          <w:rFonts w:ascii="Cambria" w:hAnsi="Cambria"/>
        </w:rPr>
        <w:t>the</w:t>
      </w:r>
      <w:r>
        <w:rPr>
          <w:rFonts w:ascii="Cambria" w:hAnsi="Cambria"/>
        </w:rPr>
        <w:t xml:space="preserve"> variety </w:t>
      </w:r>
      <w:r w:rsidR="008509D1">
        <w:rPr>
          <w:rFonts w:ascii="Cambria" w:hAnsi="Cambria"/>
        </w:rPr>
        <w:t xml:space="preserve">of </w:t>
      </w:r>
      <w:r>
        <w:rPr>
          <w:rFonts w:ascii="Cambria" w:hAnsi="Cambria"/>
        </w:rPr>
        <w:t>AY158836 is</w:t>
      </w:r>
      <w:r w:rsidR="008509D1">
        <w:rPr>
          <w:rFonts w:ascii="Cambria" w:hAnsi="Cambria"/>
        </w:rPr>
        <w:t xml:space="preserve"> unknown</w:t>
      </w:r>
      <w:r>
        <w:rPr>
          <w:rFonts w:ascii="Cambria" w:hAnsi="Cambria"/>
        </w:rPr>
        <w:t xml:space="preserve">.  Due to the BLAST results, it was concluded that strawberry </w:t>
      </w:r>
      <w:proofErr w:type="spellStart"/>
      <w:r w:rsidRPr="008509D1">
        <w:rPr>
          <w:rFonts w:ascii="Cambria" w:hAnsi="Cambria"/>
          <w:i/>
        </w:rPr>
        <w:t>FaQR</w:t>
      </w:r>
      <w:proofErr w:type="spellEnd"/>
      <w:r w:rsidRPr="008509D1">
        <w:rPr>
          <w:rFonts w:ascii="Cambria" w:hAnsi="Cambria"/>
          <w:i/>
        </w:rPr>
        <w:t xml:space="preserve"> </w:t>
      </w:r>
      <w:r>
        <w:rPr>
          <w:rFonts w:ascii="Cambria" w:hAnsi="Cambria"/>
        </w:rPr>
        <w:t xml:space="preserve">was isolated with </w:t>
      </w:r>
      <w:proofErr w:type="spellStart"/>
      <w:r>
        <w:rPr>
          <w:rFonts w:ascii="Cambria" w:hAnsi="Cambria"/>
        </w:rPr>
        <w:t>introns</w:t>
      </w:r>
      <w:proofErr w:type="spellEnd"/>
      <w:r>
        <w:rPr>
          <w:rFonts w:ascii="Cambria" w:hAnsi="Cambria"/>
        </w:rPr>
        <w:t xml:space="preserve"> in </w:t>
      </w:r>
      <w:r>
        <w:rPr>
          <w:rFonts w:ascii="Cambria" w:hAnsi="Cambria"/>
          <w:i/>
        </w:rPr>
        <w:t>E. coli.</w:t>
      </w:r>
    </w:p>
    <w:p w:rsidR="004C4FA7" w:rsidRDefault="004C4FA7" w:rsidP="00C57DE4">
      <w:pPr>
        <w:spacing w:line="480" w:lineRule="auto"/>
        <w:ind w:firstLine="720"/>
        <w:rPr>
          <w:rFonts w:ascii="Cambria" w:hAnsi="Cambria"/>
        </w:rPr>
      </w:pPr>
      <w:r>
        <w:rPr>
          <w:rFonts w:ascii="Cambria" w:hAnsi="Cambria"/>
        </w:rPr>
        <w:t>RNA was extracted from fresh tissue</w:t>
      </w:r>
      <w:r w:rsidR="008509D1">
        <w:rPr>
          <w:rFonts w:ascii="Cambria" w:hAnsi="Cambria"/>
        </w:rPr>
        <w:t xml:space="preserve"> using the QIAGEN </w:t>
      </w:r>
      <w:proofErr w:type="spellStart"/>
      <w:r w:rsidR="008509D1">
        <w:rPr>
          <w:rFonts w:ascii="Cambria" w:hAnsi="Cambria"/>
        </w:rPr>
        <w:t>RNeasy</w:t>
      </w:r>
      <w:proofErr w:type="spellEnd"/>
      <w:r w:rsidR="008509D1">
        <w:rPr>
          <w:rFonts w:ascii="Cambria" w:hAnsi="Cambria"/>
        </w:rPr>
        <w:t xml:space="preserve"> Plant </w:t>
      </w:r>
      <w:proofErr w:type="spellStart"/>
      <w:proofErr w:type="gramStart"/>
      <w:r w:rsidR="008509D1">
        <w:rPr>
          <w:rFonts w:ascii="Cambria" w:hAnsi="Cambria"/>
        </w:rPr>
        <w:t>Minikit</w:t>
      </w:r>
      <w:proofErr w:type="spellEnd"/>
      <w:r w:rsidR="008509D1">
        <w:rPr>
          <w:rFonts w:ascii="Cambria" w:hAnsi="Cambria"/>
        </w:rPr>
        <w:t xml:space="preserve"> </w:t>
      </w:r>
      <w:r>
        <w:rPr>
          <w:rFonts w:ascii="Cambria" w:hAnsi="Cambria"/>
        </w:rPr>
        <w:t>.</w:t>
      </w:r>
      <w:proofErr w:type="gramEnd"/>
      <w:r>
        <w:rPr>
          <w:rFonts w:ascii="Cambria" w:hAnsi="Cambria"/>
        </w:rPr>
        <w:t xml:space="preserve">  Four extractions were completed on (1) 100 mg of sepals, (2) 100 mg of sepals, (3) 120 mg of fruit and (4) 105 mg of fruit.  In step 1, precipitate was apparent after adding </w:t>
      </w:r>
      <w:proofErr w:type="spellStart"/>
      <w:r>
        <w:rPr>
          <w:rFonts w:ascii="Cambria" w:hAnsi="Cambria"/>
        </w:rPr>
        <w:t>EtOH</w:t>
      </w:r>
      <w:proofErr w:type="spellEnd"/>
      <w:r>
        <w:rPr>
          <w:rFonts w:ascii="Cambria" w:hAnsi="Cambria"/>
        </w:rPr>
        <w:t xml:space="preserve">.  During step 7, the product was eluted with 40 </w:t>
      </w:r>
      <w:r>
        <w:rPr>
          <w:rFonts w:ascii="Cambria" w:hAnsi="Cambria"/>
        </w:rPr>
        <w:sym w:font="Symbol" w:char="F06D"/>
      </w:r>
      <w:r>
        <w:rPr>
          <w:rFonts w:ascii="Cambria" w:hAnsi="Cambria"/>
        </w:rPr>
        <w:t xml:space="preserve">l </w:t>
      </w:r>
      <w:proofErr w:type="spellStart"/>
      <w:r>
        <w:rPr>
          <w:rFonts w:ascii="Cambria" w:hAnsi="Cambria"/>
        </w:rPr>
        <w:t>RNase</w:t>
      </w:r>
      <w:proofErr w:type="spellEnd"/>
      <w:r>
        <w:rPr>
          <w:rFonts w:ascii="Cambria" w:hAnsi="Cambria"/>
        </w:rPr>
        <w:t xml:space="preserve"> free H</w:t>
      </w:r>
      <w:r w:rsidRPr="004C4FA7">
        <w:rPr>
          <w:rFonts w:ascii="Cambria" w:hAnsi="Cambria"/>
          <w:vertAlign w:val="subscript"/>
        </w:rPr>
        <w:t>2</w:t>
      </w:r>
      <w:r>
        <w:rPr>
          <w:rFonts w:ascii="Cambria" w:hAnsi="Cambria"/>
        </w:rPr>
        <w:t xml:space="preserve">O.  The products were run on a formaldehyde </w:t>
      </w:r>
      <w:proofErr w:type="spellStart"/>
      <w:r>
        <w:rPr>
          <w:rFonts w:ascii="Cambria" w:hAnsi="Cambria"/>
        </w:rPr>
        <w:t>agarose</w:t>
      </w:r>
      <w:proofErr w:type="spellEnd"/>
      <w:r>
        <w:rPr>
          <w:rFonts w:ascii="Cambria" w:hAnsi="Cambria"/>
        </w:rPr>
        <w:t xml:space="preserve"> gel</w:t>
      </w:r>
      <w:r w:rsidR="0064333A">
        <w:rPr>
          <w:rFonts w:ascii="Cambria" w:hAnsi="Cambria"/>
        </w:rPr>
        <w:t xml:space="preserve"> (Figure 11)</w:t>
      </w:r>
      <w:r>
        <w:rPr>
          <w:rFonts w:ascii="Cambria" w:hAnsi="Cambria"/>
        </w:rPr>
        <w:t xml:space="preserve">.  Sample 4 had strong ribosomal bands, indicating good preparation.  1 and 2 had RNA, but did not have strong ribosomal bands.  3 had little to no RNA.  </w:t>
      </w:r>
    </w:p>
    <w:p w:rsidR="00F75B83" w:rsidRDefault="00F75B83" w:rsidP="00C57DE4">
      <w:pPr>
        <w:spacing w:line="480" w:lineRule="auto"/>
        <w:ind w:firstLine="720"/>
        <w:rPr>
          <w:rFonts w:ascii="Cambria" w:hAnsi="Cambria"/>
        </w:rPr>
      </w:pPr>
      <w:r w:rsidRPr="00F75B83">
        <w:rPr>
          <w:rFonts w:ascii="Cambria" w:hAnsi="Cambria"/>
        </w:rPr>
        <w:drawing>
          <wp:inline distT="0" distB="0" distL="0" distR="0">
            <wp:extent cx="2284763" cy="2470068"/>
            <wp:effectExtent l="19050" t="0" r="1237" b="0"/>
            <wp:docPr id="9"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315665" cy="5410200"/>
                      <a:chOff x="1295400" y="685800"/>
                      <a:chExt cx="5315665" cy="5410200"/>
                    </a:xfrm>
                  </a:grpSpPr>
                  <a:pic>
                    <a:nvPicPr>
                      <a:cNvPr id="4" name="Content Placeholder 3" descr="img005.jpg"/>
                      <a:cNvPicPr>
                        <a:picLocks noGrp="1" noChangeAspect="1"/>
                      </a:cNvPicPr>
                    </a:nvPicPr>
                    <a:blipFill>
                      <a:blip r:embed="rId14"/>
                      <a:srcRect l="8373" t="13358" b="39149"/>
                      <a:stretch>
                        <a:fillRect/>
                      </a:stretch>
                    </a:blipFill>
                    <a:spPr>
                      <a:xfrm>
                        <a:off x="1295400" y="2209800"/>
                        <a:ext cx="5315665" cy="3886200"/>
                      </a:xfrm>
                      <a:prstGeom prst="rect">
                        <a:avLst/>
                      </a:prstGeom>
                    </a:spPr>
                  </a:pic>
                  <a:sp>
                    <a:nvSpPr>
                      <a:cNvPr id="5" name="TextBox 4"/>
                      <a:cNvSpPr txBox="1"/>
                    </a:nvSpPr>
                    <a:spPr>
                      <a:xfrm>
                        <a:off x="4007822" y="685800"/>
                        <a:ext cx="492443" cy="1524000"/>
                      </a:xfrm>
                      <a:prstGeom prst="rect">
                        <a:avLst/>
                      </a:prstGeom>
                      <a:noFill/>
                    </a:spPr>
                    <a:txSp>
                      <a:txBody>
                        <a:bodyPr vert="vert"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000" dirty="0" smtClean="0"/>
                            <a:t>200bp Ladder</a:t>
                          </a:r>
                        </a:p>
                      </a:txBody>
                      <a:useSpRect/>
                    </a:txSp>
                  </a:sp>
                  <a:sp>
                    <a:nvSpPr>
                      <a:cNvPr id="6" name="TextBox 5"/>
                      <a:cNvSpPr txBox="1"/>
                    </a:nvSpPr>
                    <a:spPr>
                      <a:xfrm>
                        <a:off x="2941022" y="1752600"/>
                        <a:ext cx="492443" cy="369332"/>
                      </a:xfrm>
                      <a:prstGeom prst="rect">
                        <a:avLst/>
                      </a:prstGeom>
                      <a:noFill/>
                    </a:spPr>
                    <a:txSp>
                      <a:txBody>
                        <a:bodyPr vert="vert"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000" dirty="0" smtClean="0"/>
                            <a:t>4</a:t>
                          </a:r>
                        </a:p>
                      </a:txBody>
                      <a:useSpRect/>
                    </a:txSp>
                  </a:sp>
                  <a:sp>
                    <a:nvSpPr>
                      <a:cNvPr id="7" name="TextBox 6"/>
                      <a:cNvSpPr txBox="1"/>
                    </a:nvSpPr>
                    <a:spPr>
                      <a:xfrm>
                        <a:off x="3474422" y="1752600"/>
                        <a:ext cx="492443" cy="369332"/>
                      </a:xfrm>
                      <a:prstGeom prst="rect">
                        <a:avLst/>
                      </a:prstGeom>
                      <a:noFill/>
                    </a:spPr>
                    <a:txSp>
                      <a:txBody>
                        <a:bodyPr vert="vert"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000" dirty="0"/>
                            <a:t>3</a:t>
                          </a:r>
                          <a:endParaRPr lang="en-US" sz="2000" dirty="0" smtClean="0"/>
                        </a:p>
                      </a:txBody>
                      <a:useSpRect/>
                    </a:txSp>
                  </a:sp>
                  <a:sp>
                    <a:nvSpPr>
                      <a:cNvPr id="8" name="TextBox 7"/>
                      <a:cNvSpPr txBox="1"/>
                    </a:nvSpPr>
                    <a:spPr>
                      <a:xfrm>
                        <a:off x="4617422" y="1828800"/>
                        <a:ext cx="492443" cy="369332"/>
                      </a:xfrm>
                      <a:prstGeom prst="rect">
                        <a:avLst/>
                      </a:prstGeom>
                      <a:noFill/>
                    </a:spPr>
                    <a:txSp>
                      <a:txBody>
                        <a:bodyPr vert="vert"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000" dirty="0" smtClean="0"/>
                            <a:t>2</a:t>
                          </a:r>
                        </a:p>
                      </a:txBody>
                      <a:useSpRect/>
                    </a:txSp>
                  </a:sp>
                  <a:sp>
                    <a:nvSpPr>
                      <a:cNvPr id="9" name="TextBox 8"/>
                      <a:cNvSpPr txBox="1"/>
                    </a:nvSpPr>
                    <a:spPr>
                      <a:xfrm>
                        <a:off x="5227022" y="1828800"/>
                        <a:ext cx="492443" cy="369332"/>
                      </a:xfrm>
                      <a:prstGeom prst="rect">
                        <a:avLst/>
                      </a:prstGeom>
                      <a:noFill/>
                    </a:spPr>
                    <a:txSp>
                      <a:txBody>
                        <a:bodyPr vert="vert"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000" dirty="0" smtClean="0"/>
                            <a:t>1</a:t>
                          </a:r>
                        </a:p>
                      </a:txBody>
                      <a:useSpRect/>
                    </a:txSp>
                  </a:sp>
                </lc:lockedCanvas>
              </a:graphicData>
            </a:graphic>
          </wp:inline>
        </w:drawing>
      </w:r>
    </w:p>
    <w:p w:rsidR="00F75B83" w:rsidRDefault="00F75B83" w:rsidP="00F75B83">
      <w:pPr>
        <w:spacing w:line="480" w:lineRule="auto"/>
        <w:rPr>
          <w:rFonts w:ascii="Cambria" w:hAnsi="Cambria"/>
        </w:rPr>
      </w:pPr>
      <w:proofErr w:type="gramStart"/>
      <w:r w:rsidRPr="00AE1926">
        <w:rPr>
          <w:rFonts w:ascii="Cambria" w:hAnsi="Cambria"/>
          <w:b/>
        </w:rPr>
        <w:t>Figure 11.</w:t>
      </w:r>
      <w:proofErr w:type="gramEnd"/>
      <w:r>
        <w:rPr>
          <w:rFonts w:ascii="Cambria" w:hAnsi="Cambria"/>
        </w:rPr>
        <w:t xml:space="preserve">  Formaldehyde </w:t>
      </w:r>
      <w:proofErr w:type="spellStart"/>
      <w:r>
        <w:rPr>
          <w:rFonts w:ascii="Cambria" w:hAnsi="Cambria"/>
        </w:rPr>
        <w:t>agarose</w:t>
      </w:r>
      <w:proofErr w:type="spellEnd"/>
      <w:r>
        <w:rPr>
          <w:rFonts w:ascii="Cambria" w:hAnsi="Cambria"/>
        </w:rPr>
        <w:t xml:space="preserve"> gel of Tissues 1-4 RNA.</w:t>
      </w:r>
    </w:p>
    <w:p w:rsidR="004C4FA7" w:rsidRDefault="004C4FA7" w:rsidP="00F75B83">
      <w:pPr>
        <w:spacing w:line="480" w:lineRule="auto"/>
        <w:ind w:firstLine="720"/>
        <w:rPr>
          <w:rFonts w:ascii="Cambria" w:hAnsi="Cambria"/>
        </w:rPr>
      </w:pPr>
      <w:r>
        <w:rPr>
          <w:rFonts w:ascii="Cambria" w:hAnsi="Cambria"/>
        </w:rPr>
        <w:t xml:space="preserve">RT-PCR was run to amplify </w:t>
      </w:r>
      <w:proofErr w:type="spellStart"/>
      <w:r>
        <w:rPr>
          <w:rFonts w:ascii="Cambria" w:hAnsi="Cambria"/>
          <w:i/>
        </w:rPr>
        <w:t>FaQR</w:t>
      </w:r>
      <w:proofErr w:type="spellEnd"/>
      <w:r>
        <w:rPr>
          <w:rFonts w:ascii="Cambria" w:hAnsi="Cambria"/>
        </w:rPr>
        <w:t xml:space="preserve"> without </w:t>
      </w:r>
      <w:proofErr w:type="spellStart"/>
      <w:r>
        <w:rPr>
          <w:rFonts w:ascii="Cambria" w:hAnsi="Cambria"/>
        </w:rPr>
        <w:t>introns</w:t>
      </w:r>
      <w:proofErr w:type="spellEnd"/>
      <w:r w:rsidR="00C55C02">
        <w:rPr>
          <w:rFonts w:ascii="Cambria" w:hAnsi="Cambria"/>
        </w:rPr>
        <w:t xml:space="preserve"> using the QIAGEN 1-Step RT-PCR kit</w:t>
      </w:r>
      <w:r>
        <w:rPr>
          <w:rFonts w:ascii="Cambria" w:hAnsi="Cambria"/>
        </w:rPr>
        <w:t xml:space="preserve">.  Two reactions were completed with each </w:t>
      </w:r>
      <w:r w:rsidR="00C55C02">
        <w:rPr>
          <w:rFonts w:ascii="Cambria" w:hAnsi="Cambria"/>
        </w:rPr>
        <w:t xml:space="preserve">RNA extraction </w:t>
      </w:r>
      <w:r>
        <w:rPr>
          <w:rFonts w:ascii="Cambria" w:hAnsi="Cambria"/>
        </w:rPr>
        <w:t xml:space="preserve">2 and 4.  One was run with 15 </w:t>
      </w:r>
      <w:r>
        <w:rPr>
          <w:rFonts w:ascii="Cambria" w:hAnsi="Cambria"/>
        </w:rPr>
        <w:sym w:font="Symbol" w:char="F06D"/>
      </w:r>
      <w:r>
        <w:rPr>
          <w:rFonts w:ascii="Cambria" w:hAnsi="Cambria"/>
        </w:rPr>
        <w:t xml:space="preserve">l template DNA and the other with 5 </w:t>
      </w:r>
      <w:r>
        <w:rPr>
          <w:rFonts w:ascii="Cambria" w:hAnsi="Cambria"/>
        </w:rPr>
        <w:sym w:font="Symbol" w:char="F06D"/>
      </w:r>
      <w:r>
        <w:rPr>
          <w:rFonts w:ascii="Cambria" w:hAnsi="Cambria"/>
        </w:rPr>
        <w:t xml:space="preserve">l template DNA.  </w:t>
      </w:r>
    </w:p>
    <w:p w:rsidR="008B3FB1" w:rsidRDefault="004C4FA7" w:rsidP="00BA752D">
      <w:pPr>
        <w:spacing w:line="480" w:lineRule="auto"/>
        <w:ind w:firstLine="720"/>
        <w:rPr>
          <w:rFonts w:ascii="Cambria" w:hAnsi="Cambria"/>
        </w:rPr>
      </w:pPr>
      <w:r>
        <w:rPr>
          <w:rFonts w:ascii="Cambria" w:hAnsi="Cambria"/>
        </w:rPr>
        <w:t>The RT-PCR was not successful</w:t>
      </w:r>
      <w:r w:rsidR="0064333A">
        <w:rPr>
          <w:rFonts w:ascii="Cambria" w:hAnsi="Cambria"/>
        </w:rPr>
        <w:t xml:space="preserve"> (Figure 12)</w:t>
      </w:r>
      <w:r>
        <w:rPr>
          <w:rFonts w:ascii="Cambria" w:hAnsi="Cambria"/>
        </w:rPr>
        <w:t>.  The b</w:t>
      </w:r>
      <w:r w:rsidR="0064333A">
        <w:rPr>
          <w:rFonts w:ascii="Cambria" w:hAnsi="Cambria"/>
        </w:rPr>
        <w:t xml:space="preserve">ands are all less than 200 </w:t>
      </w:r>
      <w:proofErr w:type="spellStart"/>
      <w:r w:rsidR="0064333A">
        <w:rPr>
          <w:rFonts w:ascii="Cambria" w:hAnsi="Cambria"/>
        </w:rPr>
        <w:t>bp</w:t>
      </w:r>
      <w:proofErr w:type="spellEnd"/>
      <w:r w:rsidR="0064333A">
        <w:rPr>
          <w:rFonts w:ascii="Cambria" w:hAnsi="Cambria"/>
        </w:rPr>
        <w:t xml:space="preserve">, indicating small, unused </w:t>
      </w:r>
      <w:proofErr w:type="spellStart"/>
      <w:r w:rsidR="0064333A">
        <w:rPr>
          <w:rFonts w:ascii="Cambria" w:hAnsi="Cambria"/>
        </w:rPr>
        <w:t>oligos</w:t>
      </w:r>
      <w:proofErr w:type="spellEnd"/>
      <w:r w:rsidR="0064333A">
        <w:rPr>
          <w:rFonts w:ascii="Cambria" w:hAnsi="Cambria"/>
        </w:rPr>
        <w:t xml:space="preserve">.  The positive control had two bands and a streak.  The negative control had a band from small </w:t>
      </w:r>
      <w:proofErr w:type="spellStart"/>
      <w:r w:rsidR="0064333A">
        <w:rPr>
          <w:rFonts w:ascii="Cambria" w:hAnsi="Cambria"/>
        </w:rPr>
        <w:t>oligos</w:t>
      </w:r>
      <w:proofErr w:type="spellEnd"/>
      <w:r w:rsidR="0064333A">
        <w:rPr>
          <w:rFonts w:ascii="Cambria" w:hAnsi="Cambria"/>
        </w:rPr>
        <w:t>, indicating contamination and/or an unsuccessful preparation.</w:t>
      </w:r>
    </w:p>
    <w:p w:rsidR="00F75B83" w:rsidRPr="00BA752D" w:rsidRDefault="00F75B83" w:rsidP="00BA752D">
      <w:pPr>
        <w:spacing w:line="480" w:lineRule="auto"/>
        <w:ind w:firstLine="720"/>
        <w:rPr>
          <w:rFonts w:ascii="Cambria" w:hAnsi="Cambria"/>
        </w:rPr>
      </w:pPr>
      <w:r w:rsidRPr="00F75B83">
        <w:rPr>
          <w:rFonts w:ascii="Cambria" w:hAnsi="Cambria"/>
        </w:rPr>
        <w:drawing>
          <wp:inline distT="0" distB="0" distL="0" distR="0">
            <wp:extent cx="2831028" cy="2196935"/>
            <wp:effectExtent l="19050" t="0" r="0" b="0"/>
            <wp:docPr id="10"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467601" cy="5548087"/>
                      <a:chOff x="1371599" y="838200"/>
                      <a:chExt cx="7467601" cy="5548087"/>
                    </a:xfrm>
                  </a:grpSpPr>
                  <a:pic>
                    <a:nvPicPr>
                      <a:cNvPr id="4" name="Picture 3" descr="img004.jpg"/>
                      <a:cNvPicPr>
                        <a:picLocks noChangeAspect="1"/>
                      </a:cNvPicPr>
                    </a:nvPicPr>
                    <a:blipFill>
                      <a:blip r:embed="rId15"/>
                      <a:srcRect l="20339" t="7420" r="23729" b="24363"/>
                      <a:stretch>
                        <a:fillRect/>
                      </a:stretch>
                    </a:blipFill>
                    <a:spPr>
                      <a:xfrm rot="5400000">
                        <a:off x="2158904" y="1727296"/>
                        <a:ext cx="3871686" cy="5446295"/>
                      </a:xfrm>
                      <a:prstGeom prst="rect">
                        <a:avLst/>
                      </a:prstGeom>
                    </a:spPr>
                  </a:pic>
                  <a:sp>
                    <a:nvSpPr>
                      <a:cNvPr id="5" name="TextBox 4"/>
                      <a:cNvSpPr txBox="1"/>
                    </a:nvSpPr>
                    <a:spPr>
                      <a:xfrm>
                        <a:off x="3733800" y="2133600"/>
                        <a:ext cx="492443" cy="369332"/>
                      </a:xfrm>
                      <a:prstGeom prst="rect">
                        <a:avLst/>
                      </a:prstGeom>
                      <a:noFill/>
                    </a:spPr>
                    <a:txSp>
                      <a:txBody>
                        <a:bodyPr vert="vert"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000" dirty="0" smtClean="0"/>
                            <a:t>4B</a:t>
                          </a:r>
                        </a:p>
                      </a:txBody>
                      <a:useSpRect/>
                    </a:txSp>
                  </a:sp>
                  <a:sp>
                    <a:nvSpPr>
                      <a:cNvPr id="6" name="TextBox 5"/>
                      <a:cNvSpPr txBox="1"/>
                    </a:nvSpPr>
                    <a:spPr>
                      <a:xfrm>
                        <a:off x="4724400" y="2133600"/>
                        <a:ext cx="492443" cy="369332"/>
                      </a:xfrm>
                      <a:prstGeom prst="rect">
                        <a:avLst/>
                      </a:prstGeom>
                      <a:noFill/>
                    </a:spPr>
                    <a:txSp>
                      <a:txBody>
                        <a:bodyPr vert="vert"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000" dirty="0" smtClean="0"/>
                            <a:t>2B</a:t>
                          </a:r>
                        </a:p>
                      </a:txBody>
                      <a:useSpRect/>
                    </a:txSp>
                  </a:sp>
                  <a:sp>
                    <a:nvSpPr>
                      <a:cNvPr id="7" name="TextBox 6"/>
                      <a:cNvSpPr txBox="1"/>
                    </a:nvSpPr>
                    <a:spPr>
                      <a:xfrm>
                        <a:off x="4191000" y="838200"/>
                        <a:ext cx="492443" cy="2198132"/>
                      </a:xfrm>
                      <a:prstGeom prst="rect">
                        <a:avLst/>
                      </a:prstGeom>
                      <a:noFill/>
                    </a:spPr>
                    <a:txSp>
                      <a:txBody>
                        <a:bodyPr vert="vert"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000" dirty="0" smtClean="0"/>
                            <a:t>200bp Marker</a:t>
                          </a:r>
                        </a:p>
                      </a:txBody>
                      <a:useSpRect/>
                    </a:txSp>
                  </a:sp>
                  <a:sp>
                    <a:nvSpPr>
                      <a:cNvPr id="8" name="TextBox 7"/>
                      <a:cNvSpPr txBox="1"/>
                    </a:nvSpPr>
                    <a:spPr>
                      <a:xfrm>
                        <a:off x="5715000" y="838200"/>
                        <a:ext cx="492443" cy="1893332"/>
                      </a:xfrm>
                      <a:prstGeom prst="rect">
                        <a:avLst/>
                      </a:prstGeom>
                      <a:noFill/>
                    </a:spPr>
                    <a:txSp>
                      <a:txBody>
                        <a:bodyPr vert="vert"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000" dirty="0" smtClean="0"/>
                            <a:t>200bp Marker</a:t>
                          </a:r>
                        </a:p>
                      </a:txBody>
                      <a:useSpRect/>
                    </a:txSp>
                  </a:sp>
                  <a:sp>
                    <a:nvSpPr>
                      <a:cNvPr id="9" name="TextBox 8"/>
                      <a:cNvSpPr txBox="1"/>
                    </a:nvSpPr>
                    <a:spPr>
                      <a:xfrm>
                        <a:off x="5257800" y="2133600"/>
                        <a:ext cx="492443" cy="369332"/>
                      </a:xfrm>
                      <a:prstGeom prst="rect">
                        <a:avLst/>
                      </a:prstGeom>
                      <a:noFill/>
                    </a:spPr>
                    <a:txSp>
                      <a:txBody>
                        <a:bodyPr vert="vert"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000" dirty="0" smtClean="0"/>
                            <a:t>4A</a:t>
                          </a:r>
                        </a:p>
                      </a:txBody>
                      <a:useSpRect/>
                    </a:txSp>
                  </a:sp>
                  <a:sp>
                    <a:nvSpPr>
                      <a:cNvPr id="10" name="TextBox 9"/>
                      <a:cNvSpPr txBox="1"/>
                    </a:nvSpPr>
                    <a:spPr>
                      <a:xfrm>
                        <a:off x="6172200" y="2133600"/>
                        <a:ext cx="492443" cy="369332"/>
                      </a:xfrm>
                      <a:prstGeom prst="rect">
                        <a:avLst/>
                      </a:prstGeom>
                      <a:noFill/>
                    </a:spPr>
                    <a:txSp>
                      <a:txBody>
                        <a:bodyPr vert="vert"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000" dirty="0" smtClean="0"/>
                            <a:t>2A</a:t>
                          </a:r>
                        </a:p>
                      </a:txBody>
                      <a:useSpRect/>
                    </a:txSp>
                  </a:sp>
                  <a:sp>
                    <a:nvSpPr>
                      <a:cNvPr id="11" name="TextBox 10"/>
                      <a:cNvSpPr txBox="1"/>
                    </a:nvSpPr>
                    <a:spPr>
                      <a:xfrm>
                        <a:off x="2743200" y="914400"/>
                        <a:ext cx="492443" cy="1817132"/>
                      </a:xfrm>
                      <a:prstGeom prst="rect">
                        <a:avLst/>
                      </a:prstGeom>
                      <a:noFill/>
                    </a:spPr>
                    <a:txSp>
                      <a:txBody>
                        <a:bodyPr vert="vert"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000" dirty="0" smtClean="0"/>
                            <a:t>Neg. Control</a:t>
                          </a:r>
                        </a:p>
                      </a:txBody>
                      <a:useSpRect/>
                    </a:txSp>
                  </a:sp>
                  <a:sp>
                    <a:nvSpPr>
                      <a:cNvPr id="12" name="TextBox 11"/>
                      <a:cNvSpPr txBox="1"/>
                    </a:nvSpPr>
                    <a:spPr>
                      <a:xfrm>
                        <a:off x="3276600" y="914400"/>
                        <a:ext cx="492443" cy="2121932"/>
                      </a:xfrm>
                      <a:prstGeom prst="rect">
                        <a:avLst/>
                      </a:prstGeom>
                      <a:noFill/>
                    </a:spPr>
                    <a:txSp>
                      <a:txBody>
                        <a:bodyPr vert="vert"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000" dirty="0" smtClean="0"/>
                            <a:t>Pos. Control</a:t>
                          </a:r>
                        </a:p>
                      </a:txBody>
                      <a:useSpRect/>
                    </a:txSp>
                  </a:sp>
                  <a:cxnSp>
                    <a:nvCxnSpPr>
                      <a:cNvPr id="14" name="Straight Arrow Connector 13"/>
                      <a:cNvCxnSpPr/>
                    </a:nvCxnSpPr>
                    <a:spPr>
                      <a:xfrm rot="10800000">
                        <a:off x="6096000" y="4114800"/>
                        <a:ext cx="762000" cy="1588"/>
                      </a:xfrm>
                      <a:prstGeom prst="straightConnector1">
                        <a:avLst/>
                      </a:prstGeom>
                      <a:ln>
                        <a:solidFill>
                          <a:schemeClr val="bg1"/>
                        </a:solidFill>
                        <a:tailEnd type="arrow"/>
                      </a:ln>
                    </a:spPr>
                    <a:style>
                      <a:lnRef idx="3">
                        <a:schemeClr val="dk1"/>
                      </a:lnRef>
                      <a:fillRef idx="0">
                        <a:schemeClr val="dk1"/>
                      </a:fillRef>
                      <a:effectRef idx="2">
                        <a:schemeClr val="dk1"/>
                      </a:effectRef>
                      <a:fontRef idx="minor">
                        <a:schemeClr val="tx1"/>
                      </a:fontRef>
                    </a:style>
                  </a:cxnSp>
                  <a:cxnSp>
                    <a:nvCxnSpPr>
                      <a:cNvPr id="16" name="Straight Arrow Connector 15"/>
                      <a:cNvCxnSpPr/>
                    </a:nvCxnSpPr>
                    <a:spPr>
                      <a:xfrm rot="10800000">
                        <a:off x="6096000" y="3810000"/>
                        <a:ext cx="762000" cy="1588"/>
                      </a:xfrm>
                      <a:prstGeom prst="straightConnector1">
                        <a:avLst/>
                      </a:prstGeom>
                      <a:ln>
                        <a:solidFill>
                          <a:schemeClr val="bg1"/>
                        </a:solidFill>
                        <a:tailEnd type="arrow"/>
                      </a:ln>
                    </a:spPr>
                    <a:style>
                      <a:lnRef idx="3">
                        <a:schemeClr val="dk1"/>
                      </a:lnRef>
                      <a:fillRef idx="0">
                        <a:schemeClr val="dk1"/>
                      </a:fillRef>
                      <a:effectRef idx="2">
                        <a:schemeClr val="dk1"/>
                      </a:effectRef>
                      <a:fontRef idx="minor">
                        <a:schemeClr val="tx1"/>
                      </a:fontRef>
                    </a:style>
                  </a:cxnSp>
                  <a:cxnSp>
                    <a:nvCxnSpPr>
                      <a:cNvPr id="17" name="Straight Arrow Connector 16"/>
                      <a:cNvCxnSpPr/>
                    </a:nvCxnSpPr>
                    <a:spPr>
                      <a:xfrm rot="10800000">
                        <a:off x="6172200" y="4876800"/>
                        <a:ext cx="762000" cy="1588"/>
                      </a:xfrm>
                      <a:prstGeom prst="straightConnector1">
                        <a:avLst/>
                      </a:prstGeom>
                      <a:ln>
                        <a:solidFill>
                          <a:schemeClr val="bg1"/>
                        </a:solidFill>
                        <a:tailEnd type="arrow"/>
                      </a:ln>
                    </a:spPr>
                    <a:style>
                      <a:lnRef idx="3">
                        <a:schemeClr val="dk1"/>
                      </a:lnRef>
                      <a:fillRef idx="0">
                        <a:schemeClr val="dk1"/>
                      </a:fillRef>
                      <a:effectRef idx="2">
                        <a:schemeClr val="dk1"/>
                      </a:effectRef>
                      <a:fontRef idx="minor">
                        <a:schemeClr val="tx1"/>
                      </a:fontRef>
                    </a:style>
                  </a:cxnSp>
                  <a:sp>
                    <a:nvSpPr>
                      <a:cNvPr id="18" name="TextBox 17"/>
                      <a:cNvSpPr txBox="1"/>
                    </a:nvSpPr>
                    <a:spPr>
                      <a:xfrm>
                        <a:off x="6781800" y="3962400"/>
                        <a:ext cx="20574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1000bp</a:t>
                          </a:r>
                          <a:endParaRPr lang="en-US" dirty="0"/>
                        </a:p>
                      </a:txBody>
                      <a:useSpRect/>
                    </a:txSp>
                  </a:sp>
                  <a:sp>
                    <a:nvSpPr>
                      <a:cNvPr id="20" name="TextBox 19"/>
                      <a:cNvSpPr txBox="1"/>
                    </a:nvSpPr>
                    <a:spPr>
                      <a:xfrm>
                        <a:off x="6781800" y="4724400"/>
                        <a:ext cx="20574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200bp</a:t>
                          </a:r>
                          <a:endParaRPr lang="en-US" dirty="0"/>
                        </a:p>
                      </a:txBody>
                      <a:useSpRect/>
                    </a:txSp>
                  </a:sp>
                  <a:sp>
                    <a:nvSpPr>
                      <a:cNvPr id="21" name="TextBox 20"/>
                      <a:cNvSpPr txBox="1"/>
                    </a:nvSpPr>
                    <a:spPr>
                      <a:xfrm>
                        <a:off x="6781800" y="3581400"/>
                        <a:ext cx="20574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a:t>2</a:t>
                          </a:r>
                          <a:r>
                            <a:rPr lang="en-US" dirty="0" smtClean="0"/>
                            <a:t>000bp</a:t>
                          </a:r>
                          <a:endParaRPr lang="en-US" dirty="0"/>
                        </a:p>
                      </a:txBody>
                      <a:useSpRect/>
                    </a:txSp>
                  </a:sp>
                </lc:lockedCanvas>
              </a:graphicData>
            </a:graphic>
          </wp:inline>
        </w:drawing>
      </w:r>
    </w:p>
    <w:p w:rsidR="00F75B83" w:rsidRPr="00635E99" w:rsidRDefault="00F75B83" w:rsidP="00F75B83">
      <w:pPr>
        <w:spacing w:line="480" w:lineRule="auto"/>
        <w:rPr>
          <w:rFonts w:ascii="Cambria" w:hAnsi="Cambria"/>
          <w:b/>
        </w:rPr>
      </w:pPr>
      <w:proofErr w:type="gramStart"/>
      <w:r w:rsidRPr="00AE1926">
        <w:rPr>
          <w:rFonts w:ascii="Cambria" w:hAnsi="Cambria"/>
          <w:b/>
        </w:rPr>
        <w:t>Figure 12</w:t>
      </w:r>
      <w:r>
        <w:rPr>
          <w:rFonts w:ascii="Cambria" w:hAnsi="Cambria"/>
        </w:rPr>
        <w:t>.</w:t>
      </w:r>
      <w:proofErr w:type="gramEnd"/>
      <w:r>
        <w:rPr>
          <w:rFonts w:ascii="Cambria" w:hAnsi="Cambria"/>
        </w:rPr>
        <w:t xml:space="preserve">  </w:t>
      </w:r>
      <w:proofErr w:type="spellStart"/>
      <w:proofErr w:type="gramStart"/>
      <w:r>
        <w:rPr>
          <w:rFonts w:ascii="Cambria" w:hAnsi="Cambria"/>
        </w:rPr>
        <w:t>Agarose</w:t>
      </w:r>
      <w:proofErr w:type="spellEnd"/>
      <w:r>
        <w:rPr>
          <w:rFonts w:ascii="Cambria" w:hAnsi="Cambria"/>
        </w:rPr>
        <w:t xml:space="preserve"> gel of RT-PCR products.</w:t>
      </w:r>
      <w:proofErr w:type="gramEnd"/>
    </w:p>
    <w:p w:rsidR="00A30C1E" w:rsidRPr="00F76EF9" w:rsidRDefault="00A30C1E" w:rsidP="00F76EF9">
      <w:pPr>
        <w:spacing w:line="480" w:lineRule="auto"/>
        <w:ind w:firstLine="720"/>
      </w:pPr>
    </w:p>
    <w:p w:rsidR="00BA752D" w:rsidRDefault="00A30C1E" w:rsidP="007D0F98">
      <w:pPr>
        <w:spacing w:line="480" w:lineRule="auto"/>
        <w:rPr>
          <w:b/>
        </w:rPr>
      </w:pPr>
      <w:r>
        <w:rPr>
          <w:b/>
        </w:rPr>
        <w:t>Discussio</w:t>
      </w:r>
      <w:r w:rsidR="00BA752D">
        <w:rPr>
          <w:b/>
        </w:rPr>
        <w:t>n</w:t>
      </w:r>
    </w:p>
    <w:p w:rsidR="00BA752D" w:rsidRDefault="00C55C02" w:rsidP="00BA752D">
      <w:pPr>
        <w:spacing w:line="480" w:lineRule="auto"/>
        <w:ind w:firstLine="720"/>
      </w:pPr>
      <w:r>
        <w:t>S</w:t>
      </w:r>
      <w:r w:rsidR="00BA752D">
        <w:t>trawberry</w:t>
      </w:r>
      <w:r>
        <w:t xml:space="preserve"> scent genes have been a topic of excessive research, excluding the recently found</w:t>
      </w:r>
      <w:r w:rsidR="00BA752D">
        <w:t xml:space="preserve"> </w:t>
      </w:r>
      <w:proofErr w:type="spellStart"/>
      <w:r w:rsidR="00BA752D" w:rsidRPr="00615A28">
        <w:rPr>
          <w:i/>
        </w:rPr>
        <w:t>FaQR</w:t>
      </w:r>
      <w:proofErr w:type="spellEnd"/>
      <w:r w:rsidR="00BA752D">
        <w:t xml:space="preserve"> gene</w:t>
      </w:r>
      <w:r>
        <w:t xml:space="preserve"> (</w:t>
      </w:r>
      <w:proofErr w:type="spellStart"/>
      <w:r>
        <w:t>Raab</w:t>
      </w:r>
      <w:proofErr w:type="spellEnd"/>
      <w:r>
        <w:t xml:space="preserve"> </w:t>
      </w:r>
      <w:r>
        <w:rPr>
          <w:i/>
        </w:rPr>
        <w:t xml:space="preserve">et al. </w:t>
      </w:r>
      <w:r>
        <w:t xml:space="preserve">2006).  </w:t>
      </w:r>
      <w:r w:rsidR="00BA752D">
        <w:t xml:space="preserve">The research and experiments carried out </w:t>
      </w:r>
      <w:r>
        <w:t>in Recombinant DNA Techniques</w:t>
      </w:r>
      <w:r w:rsidR="00BA752D">
        <w:t xml:space="preserve"> were in an effort to allow the </w:t>
      </w:r>
      <w:proofErr w:type="spellStart"/>
      <w:r w:rsidR="00BA752D" w:rsidRPr="00615A28">
        <w:rPr>
          <w:i/>
        </w:rPr>
        <w:t>FaQR</w:t>
      </w:r>
      <w:proofErr w:type="spellEnd"/>
      <w:r w:rsidR="00BA752D">
        <w:t xml:space="preserve"> gene to be more accessible to others by making it </w:t>
      </w:r>
      <w:proofErr w:type="spellStart"/>
      <w:r w:rsidR="00BA752D">
        <w:t>BioBrick</w:t>
      </w:r>
      <w:proofErr w:type="spellEnd"/>
      <w:r w:rsidR="00BA752D">
        <w:t xml:space="preserve"> compatible.  Many genes were initially researched</w:t>
      </w:r>
      <w:r>
        <w:t xml:space="preserve">, such as </w:t>
      </w:r>
      <w:r>
        <w:rPr>
          <w:i/>
        </w:rPr>
        <w:t>FaNES1</w:t>
      </w:r>
      <w:r w:rsidRPr="00C55C02">
        <w:t>,</w:t>
      </w:r>
      <w:r>
        <w:rPr>
          <w:i/>
        </w:rPr>
        <w:t xml:space="preserve"> FaNES2</w:t>
      </w:r>
      <w:r w:rsidRPr="00C55C02">
        <w:t>,</w:t>
      </w:r>
      <w:r>
        <w:rPr>
          <w:i/>
        </w:rPr>
        <w:t xml:space="preserve"> SAAT </w:t>
      </w:r>
      <w:r>
        <w:t xml:space="preserve">and </w:t>
      </w:r>
      <w:proofErr w:type="spellStart"/>
      <w:r>
        <w:rPr>
          <w:i/>
        </w:rPr>
        <w:t>FaQR</w:t>
      </w:r>
      <w:proofErr w:type="spellEnd"/>
      <w:r>
        <w:t xml:space="preserve">.  Other scent genes </w:t>
      </w:r>
      <w:r w:rsidR="00BA752D">
        <w:t>may be further investigated in the future.</w:t>
      </w:r>
    </w:p>
    <w:p w:rsidR="00BA752D" w:rsidRPr="00BB25D6" w:rsidRDefault="00BA752D" w:rsidP="00BA752D">
      <w:pPr>
        <w:spacing w:line="480" w:lineRule="auto"/>
      </w:pPr>
      <w:r>
        <w:tab/>
      </w:r>
      <w:r w:rsidRPr="00615A28">
        <w:rPr>
          <w:i/>
        </w:rPr>
        <w:t xml:space="preserve">SAAT </w:t>
      </w:r>
      <w:r>
        <w:t xml:space="preserve">could be </w:t>
      </w:r>
      <w:r w:rsidR="00C55C02">
        <w:t>further invested by amplifying the gene</w:t>
      </w:r>
      <w:r>
        <w:t xml:space="preserve"> using mRNA (Kiefer </w:t>
      </w:r>
      <w:r>
        <w:rPr>
          <w:i/>
        </w:rPr>
        <w:t xml:space="preserve">et al. </w:t>
      </w:r>
      <w:r>
        <w:t xml:space="preserve">2008).  Two promoters could be attached to the gene, a tetracycline and an </w:t>
      </w:r>
      <w:proofErr w:type="spellStart"/>
      <w:r>
        <w:t>arabinose</w:t>
      </w:r>
      <w:proofErr w:type="spellEnd"/>
      <w:r>
        <w:t xml:space="preserve">.  The device could be </w:t>
      </w:r>
      <w:proofErr w:type="spellStart"/>
      <w:r>
        <w:t>ligated</w:t>
      </w:r>
      <w:proofErr w:type="spellEnd"/>
      <w:r>
        <w:t xml:space="preserve"> and transformed, and the bacteria grown in gradient mediums containing the specific promoter inducer and </w:t>
      </w:r>
      <w:proofErr w:type="spellStart"/>
      <w:r>
        <w:t>Acyl-CoA</w:t>
      </w:r>
      <w:proofErr w:type="spellEnd"/>
      <w:r>
        <w:t xml:space="preserve">.  The </w:t>
      </w:r>
      <w:r>
        <w:rPr>
          <w:i/>
        </w:rPr>
        <w:t xml:space="preserve">SAAT </w:t>
      </w:r>
      <w:r>
        <w:t xml:space="preserve">experiments could be tested using gas chromatography.  The pathway of </w:t>
      </w:r>
      <w:r w:rsidR="00C55C02">
        <w:t xml:space="preserve">scent </w:t>
      </w:r>
      <w:r>
        <w:t xml:space="preserve">production is known for the </w:t>
      </w:r>
      <w:r w:rsidRPr="00615A28">
        <w:rPr>
          <w:i/>
        </w:rPr>
        <w:t>SAAT</w:t>
      </w:r>
      <w:r>
        <w:t xml:space="preserve">, but not yet for the </w:t>
      </w:r>
      <w:proofErr w:type="spellStart"/>
      <w:r w:rsidRPr="00615A28">
        <w:rPr>
          <w:i/>
        </w:rPr>
        <w:t>FaQR</w:t>
      </w:r>
      <w:proofErr w:type="spellEnd"/>
      <w:r w:rsidR="00C55C02">
        <w:t>, making</w:t>
      </w:r>
      <w:r>
        <w:t xml:space="preserve"> it difficult to determine if the genes would compliment ea</w:t>
      </w:r>
      <w:r w:rsidR="00C55C02">
        <w:t>ch other if combined</w:t>
      </w:r>
      <w:r>
        <w:t>.</w:t>
      </w:r>
    </w:p>
    <w:p w:rsidR="00BA752D" w:rsidRDefault="00BA752D" w:rsidP="00BA752D">
      <w:pPr>
        <w:spacing w:line="480" w:lineRule="auto"/>
      </w:pPr>
      <w:r>
        <w:tab/>
      </w:r>
      <w:r w:rsidR="00C55C02">
        <w:t>In the group’s experience, i</w:t>
      </w:r>
      <w:r>
        <w:t xml:space="preserve">t </w:t>
      </w:r>
      <w:r w:rsidR="00C55C02">
        <w:t>is apparent</w:t>
      </w:r>
      <w:r>
        <w:t xml:space="preserve"> that the simplest and most effective way to isolate DNA from strawber</w:t>
      </w:r>
      <w:r w:rsidR="00C55C02">
        <w:t>ries is to use a column kit.  For future experiments</w:t>
      </w:r>
      <w:r>
        <w:t>, a mini kit DNA extraction would be recommended.  It is evident that usi</w:t>
      </w:r>
      <w:r w:rsidR="00C55C02">
        <w:t xml:space="preserve">ng a </w:t>
      </w:r>
      <w:proofErr w:type="spellStart"/>
      <w:r w:rsidR="00C55C02">
        <w:t>minikit</w:t>
      </w:r>
      <w:proofErr w:type="spellEnd"/>
      <w:r>
        <w:t xml:space="preserve"> </w:t>
      </w:r>
      <w:r w:rsidR="00C55C02">
        <w:t>(</w:t>
      </w:r>
      <w:r>
        <w:t>described in this report</w:t>
      </w:r>
      <w:r w:rsidR="00C55C02">
        <w:t>)</w:t>
      </w:r>
      <w:r>
        <w:t xml:space="preserve">, the </w:t>
      </w:r>
      <w:proofErr w:type="spellStart"/>
      <w:r w:rsidRPr="00615A28">
        <w:rPr>
          <w:i/>
        </w:rPr>
        <w:t>FaQR</w:t>
      </w:r>
      <w:proofErr w:type="spellEnd"/>
      <w:r w:rsidRPr="00615A28">
        <w:rPr>
          <w:i/>
        </w:rPr>
        <w:t xml:space="preserve"> </w:t>
      </w:r>
      <w:r>
        <w:t>gene</w:t>
      </w:r>
      <w:r w:rsidRPr="008B49B7">
        <w:t xml:space="preserve"> </w:t>
      </w:r>
      <w:r>
        <w:t xml:space="preserve">can be isolated with ease.  The difference between using the </w:t>
      </w:r>
      <w:r w:rsidR="00C55C02">
        <w:t xml:space="preserve">extraction </w:t>
      </w:r>
      <w:r>
        <w:t xml:space="preserve">protocol from Mercado </w:t>
      </w:r>
      <w:r>
        <w:rPr>
          <w:i/>
        </w:rPr>
        <w:t xml:space="preserve">et al. </w:t>
      </w:r>
      <w:r>
        <w:t xml:space="preserve">(1999) and using a mini kit preparation can be seen between Figures 3 and 4 </w:t>
      </w:r>
      <w:r w:rsidR="00C55C02">
        <w:t>(results section).</w:t>
      </w:r>
    </w:p>
    <w:p w:rsidR="00BA752D" w:rsidRDefault="00BA752D" w:rsidP="00BA752D">
      <w:pPr>
        <w:spacing w:line="480" w:lineRule="auto"/>
      </w:pPr>
      <w:r>
        <w:tab/>
        <w:t>The group als</w:t>
      </w:r>
      <w:r w:rsidR="0048298A">
        <w:t xml:space="preserve">o feels that trying to use RNA, </w:t>
      </w:r>
      <w:r>
        <w:t xml:space="preserve">more specifically RT-PCR </w:t>
      </w:r>
      <w:r w:rsidR="0048298A">
        <w:t xml:space="preserve">to cut out </w:t>
      </w:r>
      <w:proofErr w:type="spellStart"/>
      <w:r w:rsidR="0048298A">
        <w:t>introns</w:t>
      </w:r>
      <w:proofErr w:type="spellEnd"/>
      <w:r w:rsidR="0048298A">
        <w:t>,</w:t>
      </w:r>
      <w:r>
        <w:t xml:space="preserve"> may not be the most successful method in this instance.  Although RNA was acquire</w:t>
      </w:r>
      <w:r w:rsidR="0048298A">
        <w:t xml:space="preserve">d using the </w:t>
      </w:r>
      <w:proofErr w:type="spellStart"/>
      <w:r w:rsidR="0048298A">
        <w:t>RNeasy</w:t>
      </w:r>
      <w:proofErr w:type="spellEnd"/>
      <w:r w:rsidR="0048298A">
        <w:t xml:space="preserve"> Mini Kit,</w:t>
      </w:r>
      <w:r>
        <w:t xml:space="preserve"> RT-PCR </w:t>
      </w:r>
      <w:r w:rsidR="0048298A">
        <w:t xml:space="preserve">was not successful, </w:t>
      </w:r>
      <w:r>
        <w:t xml:space="preserve">most likely due to an insufficient amount of RNA extracted from the tissue.  </w:t>
      </w:r>
      <w:r w:rsidR="0048298A">
        <w:t xml:space="preserve">Due to time constraints and the sensitivity of RNA, the method was not tried </w:t>
      </w:r>
      <w:r>
        <w:t>with other variables</w:t>
      </w:r>
      <w:r w:rsidR="0048298A">
        <w:t>,</w:t>
      </w:r>
      <w:r>
        <w:t xml:space="preserve"> such as </w:t>
      </w:r>
      <w:r w:rsidR="0048298A">
        <w:t>modifying the annealing temperature and concentration of DNA.  Additionally, time was not allotted</w:t>
      </w:r>
      <w:r>
        <w:t xml:space="preserve"> to attempt to cut</w:t>
      </w:r>
      <w:r w:rsidR="0048298A">
        <w:t xml:space="preserve">ting out </w:t>
      </w:r>
      <w:proofErr w:type="spellStart"/>
      <w:r w:rsidR="0048298A">
        <w:t>introns</w:t>
      </w:r>
      <w:proofErr w:type="spellEnd"/>
      <w:r>
        <w:t xml:space="preserve"> using other methods</w:t>
      </w:r>
      <w:r w:rsidR="0048298A">
        <w:t>,</w:t>
      </w:r>
      <w:r>
        <w:t xml:space="preserve"> such as t</w:t>
      </w:r>
      <w:r w:rsidR="0048298A">
        <w:t>emplate jump PCR, blunt end PCR</w:t>
      </w:r>
      <w:r>
        <w:t xml:space="preserve"> or overlapping primer </w:t>
      </w:r>
      <w:r w:rsidR="0048298A">
        <w:t>PCR</w:t>
      </w:r>
      <w:r>
        <w:t xml:space="preserve">.  These may all be viable options </w:t>
      </w:r>
      <w:r w:rsidR="0048298A">
        <w:t xml:space="preserve">to make </w:t>
      </w:r>
      <w:proofErr w:type="spellStart"/>
      <w:r w:rsidR="0048298A">
        <w:rPr>
          <w:i/>
        </w:rPr>
        <w:t>FaQR</w:t>
      </w:r>
      <w:proofErr w:type="spellEnd"/>
      <w:r w:rsidR="0048298A">
        <w:rPr>
          <w:i/>
        </w:rPr>
        <w:t xml:space="preserve"> </w:t>
      </w:r>
      <w:proofErr w:type="spellStart"/>
      <w:r>
        <w:t>BioBrick</w:t>
      </w:r>
      <w:proofErr w:type="spellEnd"/>
      <w:r>
        <w:t xml:space="preserve"> compatible.   </w:t>
      </w:r>
    </w:p>
    <w:p w:rsidR="0048298A" w:rsidRDefault="00BA752D" w:rsidP="00BA752D">
      <w:pPr>
        <w:spacing w:line="480" w:lineRule="auto"/>
      </w:pPr>
      <w:r>
        <w:tab/>
      </w:r>
      <w:r w:rsidR="0048298A">
        <w:t xml:space="preserve">This project was not finished </w:t>
      </w:r>
      <w:r>
        <w:t xml:space="preserve">to entirety due to time constraints.  The next steps would have been to cut out </w:t>
      </w:r>
      <w:proofErr w:type="spellStart"/>
      <w:r>
        <w:t>introns</w:t>
      </w:r>
      <w:proofErr w:type="spellEnd"/>
      <w:r>
        <w:t xml:space="preserve"> within the gen</w:t>
      </w:r>
      <w:r w:rsidR="0048298A">
        <w:t xml:space="preserve">e, add </w:t>
      </w:r>
      <w:proofErr w:type="spellStart"/>
      <w:r w:rsidR="0048298A">
        <w:t>BioBrick</w:t>
      </w:r>
      <w:proofErr w:type="spellEnd"/>
      <w:r w:rsidR="0048298A">
        <w:t xml:space="preserve"> compatible ends</w:t>
      </w:r>
      <w:r>
        <w:t xml:space="preserve"> and finally to submit our fragment to the </w:t>
      </w:r>
      <w:proofErr w:type="spellStart"/>
      <w:r>
        <w:t>BioBrick</w:t>
      </w:r>
      <w:proofErr w:type="spellEnd"/>
      <w:r>
        <w:t xml:space="preserve"> catalogue.  </w:t>
      </w:r>
    </w:p>
    <w:p w:rsidR="00BA752D" w:rsidRDefault="00BA752D" w:rsidP="0048298A">
      <w:pPr>
        <w:spacing w:line="480" w:lineRule="auto"/>
        <w:ind w:firstLine="720"/>
      </w:pPr>
      <w:r>
        <w:t>Allowing such accessibility to this fragrant gene could allow others to use it in a number of ways.  One useful application would be to mask the unpleasant</w:t>
      </w:r>
      <w:r w:rsidR="0048298A">
        <w:t xml:space="preserve"> smell of</w:t>
      </w:r>
      <w:r>
        <w:t xml:space="preserve"> </w:t>
      </w:r>
      <w:r>
        <w:rPr>
          <w:i/>
        </w:rPr>
        <w:t>E. c</w:t>
      </w:r>
      <w:r w:rsidRPr="005474AE">
        <w:rPr>
          <w:i/>
        </w:rPr>
        <w:t xml:space="preserve">oli </w:t>
      </w:r>
      <w:r w:rsidR="0048298A">
        <w:t xml:space="preserve">through expression of </w:t>
      </w:r>
      <w:proofErr w:type="spellStart"/>
      <w:r w:rsidR="0048298A">
        <w:rPr>
          <w:i/>
        </w:rPr>
        <w:t>FaQR</w:t>
      </w:r>
      <w:proofErr w:type="spellEnd"/>
      <w:r>
        <w:t>.  This approach could also be used in the food industry</w:t>
      </w:r>
      <w:r w:rsidR="0048298A">
        <w:t>, in products such as</w:t>
      </w:r>
      <w:r>
        <w:t xml:space="preserve"> yogurt and bread yeast.</w:t>
      </w:r>
      <w:r w:rsidR="0048298A">
        <w:t xml:space="preserve">  Another practical application is use of the gene</w:t>
      </w:r>
      <w:r>
        <w:t xml:space="preserve"> as an attachment marker to c</w:t>
      </w:r>
      <w:r w:rsidR="0048298A">
        <w:t xml:space="preserve">heck the accuracy of other </w:t>
      </w:r>
      <w:r>
        <w:t>clonin</w:t>
      </w:r>
      <w:r w:rsidR="0048298A">
        <w:t>g projects.  However, it is un</w:t>
      </w:r>
      <w:r>
        <w:t xml:space="preserve">known if the </w:t>
      </w:r>
      <w:proofErr w:type="spellStart"/>
      <w:r w:rsidRPr="00615A28">
        <w:rPr>
          <w:i/>
        </w:rPr>
        <w:t>FaQR</w:t>
      </w:r>
      <w:proofErr w:type="spellEnd"/>
      <w:r w:rsidRPr="00615A28">
        <w:rPr>
          <w:i/>
        </w:rPr>
        <w:t xml:space="preserve"> </w:t>
      </w:r>
      <w:r>
        <w:t>gene would serve as a good attachment marker.</w:t>
      </w:r>
    </w:p>
    <w:p w:rsidR="00BA752D" w:rsidRPr="005474AE" w:rsidRDefault="00BA752D" w:rsidP="00BA752D">
      <w:pPr>
        <w:spacing w:line="480" w:lineRule="auto"/>
      </w:pPr>
      <w:r>
        <w:tab/>
        <w:t xml:space="preserve">In closing, the </w:t>
      </w:r>
      <w:proofErr w:type="spellStart"/>
      <w:r w:rsidRPr="00615A28">
        <w:rPr>
          <w:i/>
        </w:rPr>
        <w:t>FaQR</w:t>
      </w:r>
      <w:proofErr w:type="spellEnd"/>
      <w:r>
        <w:t xml:space="preserve"> gene has not yet been transform</w:t>
      </w:r>
      <w:r w:rsidR="0048298A">
        <w:t xml:space="preserve">ed into a </w:t>
      </w:r>
      <w:proofErr w:type="spellStart"/>
      <w:r w:rsidR="0048298A">
        <w:t>BioBrick</w:t>
      </w:r>
      <w:proofErr w:type="spellEnd"/>
      <w:r w:rsidR="0048298A">
        <w:t>.  The work completed</w:t>
      </w:r>
      <w:r>
        <w:t xml:space="preserve"> has been successful and productive in reaching this goal.  </w:t>
      </w:r>
      <w:r w:rsidR="0048298A">
        <w:t>The group</w:t>
      </w:r>
      <w:r>
        <w:t xml:space="preserve"> hope</w:t>
      </w:r>
      <w:r w:rsidR="0048298A">
        <w:t>s</w:t>
      </w:r>
      <w:r>
        <w:t xml:space="preserve"> that future enthusiasts will pick u</w:t>
      </w:r>
      <w:r w:rsidR="0048298A">
        <w:t xml:space="preserve">p the Strawberry Shortcake Project </w:t>
      </w:r>
      <w:r>
        <w:t>and achieve the final goal</w:t>
      </w:r>
      <w:r w:rsidR="0048298A">
        <w:t xml:space="preserve"> of a </w:t>
      </w:r>
      <w:proofErr w:type="spellStart"/>
      <w:r w:rsidR="0048298A">
        <w:t>Biobrick</w:t>
      </w:r>
      <w:proofErr w:type="spellEnd"/>
      <w:r>
        <w:t xml:space="preserve">.  With more time invested, this gene could </w:t>
      </w:r>
      <w:proofErr w:type="gramStart"/>
      <w:r>
        <w:t>been</w:t>
      </w:r>
      <w:proofErr w:type="gramEnd"/>
      <w:r>
        <w:t xml:space="preserve"> seen in the </w:t>
      </w:r>
      <w:proofErr w:type="spellStart"/>
      <w:r w:rsidR="0048298A">
        <w:t>Biobrick</w:t>
      </w:r>
      <w:proofErr w:type="spellEnd"/>
      <w:r w:rsidR="0048298A">
        <w:t xml:space="preserve"> </w:t>
      </w:r>
      <w:r>
        <w:t>catalogue within the very near future.</w:t>
      </w:r>
    </w:p>
    <w:p w:rsidR="00F742CC" w:rsidRPr="00C57DE4" w:rsidRDefault="00F742CC" w:rsidP="007D0F98">
      <w:pPr>
        <w:spacing w:line="480" w:lineRule="auto"/>
        <w:rPr>
          <w:b/>
        </w:rPr>
      </w:pPr>
    </w:p>
    <w:p w:rsidR="007D0F98" w:rsidRPr="00C57DE4" w:rsidRDefault="004E5B04" w:rsidP="007D0F98">
      <w:pPr>
        <w:spacing w:line="480" w:lineRule="auto"/>
      </w:pPr>
      <w:r>
        <w:tab/>
      </w:r>
    </w:p>
    <w:p w:rsidR="00A30C1E" w:rsidRDefault="00A30C1E" w:rsidP="00E50735">
      <w:pPr>
        <w:spacing w:line="480" w:lineRule="auto"/>
        <w:rPr>
          <w:b/>
        </w:rPr>
      </w:pPr>
    </w:p>
    <w:p w:rsidR="00A30C1E" w:rsidRPr="00E50735" w:rsidRDefault="002752B5" w:rsidP="002752B5">
      <w:pPr>
        <w:spacing w:line="480" w:lineRule="auto"/>
        <w:rPr>
          <w:b/>
        </w:rPr>
      </w:pPr>
      <w:r>
        <w:rPr>
          <w:b/>
        </w:rPr>
        <w:br w:type="page"/>
      </w:r>
      <w:r w:rsidR="00037E6D">
        <w:rPr>
          <w:b/>
        </w:rPr>
        <w:t xml:space="preserve">Appendix I:  </w:t>
      </w:r>
      <w:r w:rsidR="00A30C1E">
        <w:rPr>
          <w:b/>
        </w:rPr>
        <w:t>Respective Specimens Examined</w:t>
      </w:r>
    </w:p>
    <w:p w:rsidR="00A30C1E" w:rsidRDefault="00A30C1E" w:rsidP="002752B5">
      <w:pPr>
        <w:spacing w:line="480" w:lineRule="auto"/>
        <w:jc w:val="center"/>
        <w:rPr>
          <w:u w:val="single"/>
        </w:rPr>
      </w:pPr>
      <w:proofErr w:type="spellStart"/>
      <w:r w:rsidRPr="00A30C1E">
        <w:rPr>
          <w:i/>
          <w:u w:val="single"/>
        </w:rPr>
        <w:t>Fragaria</w:t>
      </w:r>
      <w:proofErr w:type="spellEnd"/>
      <w:r w:rsidRPr="00A30C1E">
        <w:rPr>
          <w:i/>
          <w:u w:val="single"/>
        </w:rPr>
        <w:t xml:space="preserve"> x </w:t>
      </w:r>
      <w:proofErr w:type="spellStart"/>
      <w:r w:rsidRPr="00A30C1E">
        <w:rPr>
          <w:i/>
          <w:u w:val="single"/>
        </w:rPr>
        <w:t>ananassa</w:t>
      </w:r>
      <w:proofErr w:type="spellEnd"/>
      <w:r w:rsidRPr="00A30C1E">
        <w:rPr>
          <w:i/>
          <w:u w:val="single"/>
        </w:rPr>
        <w:t xml:space="preserve"> </w:t>
      </w:r>
      <w:r w:rsidRPr="00A30C1E">
        <w:rPr>
          <w:u w:val="single"/>
        </w:rPr>
        <w:t xml:space="preserve"> (Weston) Duchesne </w:t>
      </w:r>
      <w:r w:rsidRPr="00A30C1E">
        <w:rPr>
          <w:i/>
          <w:u w:val="single"/>
        </w:rPr>
        <w:t>ex</w:t>
      </w:r>
      <w:r w:rsidRPr="00A30C1E">
        <w:rPr>
          <w:u w:val="single"/>
        </w:rPr>
        <w:t xml:space="preserve"> </w:t>
      </w:r>
      <w:proofErr w:type="spellStart"/>
      <w:r w:rsidRPr="00A30C1E">
        <w:rPr>
          <w:u w:val="single"/>
        </w:rPr>
        <w:t>Rozier</w:t>
      </w:r>
      <w:proofErr w:type="spellEnd"/>
      <w:r w:rsidRPr="00A30C1E">
        <w:rPr>
          <w:u w:val="single"/>
        </w:rPr>
        <w:t xml:space="preserve"> var. Cabot</w:t>
      </w:r>
    </w:p>
    <w:p w:rsidR="00A30C1E" w:rsidRPr="00A30C1E" w:rsidRDefault="00A30C1E" w:rsidP="002752B5">
      <w:pPr>
        <w:spacing w:line="480" w:lineRule="auto"/>
        <w:rPr>
          <w:i/>
        </w:rPr>
      </w:pPr>
      <w:r>
        <w:rPr>
          <w:b/>
        </w:rPr>
        <w:t xml:space="preserve">United States: Iowa: Black Hawk County:  </w:t>
      </w:r>
      <w:r>
        <w:t>Waterloo, Heartland Farms, 5111 Osage Rd, 42</w:t>
      </w:r>
      <w:r>
        <w:rPr>
          <w:rFonts w:ascii="Cambria" w:hAnsi="Cambria"/>
        </w:rPr>
        <w:t xml:space="preserve">°28’59.27”N 92°10’47.41”W, 280 m elevation, </w:t>
      </w:r>
      <w:r w:rsidR="00993A84">
        <w:rPr>
          <w:rFonts w:ascii="Cambria" w:hAnsi="Cambria"/>
          <w:i/>
        </w:rPr>
        <w:t>Reut</w:t>
      </w:r>
      <w:r>
        <w:rPr>
          <w:rFonts w:ascii="Cambria" w:hAnsi="Cambria"/>
          <w:i/>
        </w:rPr>
        <w:t>er 1.</w:t>
      </w:r>
    </w:p>
    <w:p w:rsidR="00A30C1E" w:rsidRPr="00A30C1E" w:rsidRDefault="00A30C1E" w:rsidP="002752B5">
      <w:pPr>
        <w:spacing w:line="480" w:lineRule="auto"/>
        <w:rPr>
          <w:i/>
        </w:rPr>
      </w:pPr>
    </w:p>
    <w:p w:rsidR="00A30C1E" w:rsidRDefault="00A30C1E" w:rsidP="002752B5">
      <w:pPr>
        <w:spacing w:line="480" w:lineRule="auto"/>
        <w:jc w:val="center"/>
        <w:rPr>
          <w:u w:val="single"/>
        </w:rPr>
      </w:pPr>
      <w:proofErr w:type="spellStart"/>
      <w:r w:rsidRPr="00A30C1E">
        <w:rPr>
          <w:i/>
          <w:u w:val="single"/>
        </w:rPr>
        <w:t>Fragaria</w:t>
      </w:r>
      <w:proofErr w:type="spellEnd"/>
      <w:r w:rsidRPr="00A30C1E">
        <w:rPr>
          <w:i/>
          <w:u w:val="single"/>
        </w:rPr>
        <w:t xml:space="preserve"> x </w:t>
      </w:r>
      <w:proofErr w:type="spellStart"/>
      <w:r w:rsidRPr="00A30C1E">
        <w:rPr>
          <w:i/>
          <w:u w:val="single"/>
        </w:rPr>
        <w:t>ananassa</w:t>
      </w:r>
      <w:proofErr w:type="spellEnd"/>
      <w:r w:rsidRPr="00A30C1E">
        <w:rPr>
          <w:i/>
          <w:u w:val="single"/>
        </w:rPr>
        <w:t xml:space="preserve"> </w:t>
      </w:r>
      <w:r w:rsidRPr="00A30C1E">
        <w:rPr>
          <w:u w:val="single"/>
        </w:rPr>
        <w:t xml:space="preserve"> (Weston) Duchesne </w:t>
      </w:r>
      <w:r w:rsidRPr="00A30C1E">
        <w:rPr>
          <w:i/>
          <w:u w:val="single"/>
        </w:rPr>
        <w:t>ex</w:t>
      </w:r>
      <w:r w:rsidRPr="00A30C1E">
        <w:rPr>
          <w:u w:val="single"/>
        </w:rPr>
        <w:t xml:space="preserve"> </w:t>
      </w:r>
      <w:proofErr w:type="spellStart"/>
      <w:r w:rsidRPr="00A30C1E">
        <w:rPr>
          <w:u w:val="single"/>
        </w:rPr>
        <w:t>Rozier</w:t>
      </w:r>
      <w:proofErr w:type="spellEnd"/>
      <w:r w:rsidRPr="00A30C1E">
        <w:rPr>
          <w:u w:val="single"/>
        </w:rPr>
        <w:t xml:space="preserve"> var. Jewel</w:t>
      </w:r>
    </w:p>
    <w:p w:rsidR="00A30C1E" w:rsidRPr="00A30C1E" w:rsidRDefault="00A30C1E" w:rsidP="002752B5">
      <w:pPr>
        <w:spacing w:line="480" w:lineRule="auto"/>
      </w:pPr>
      <w:r>
        <w:rPr>
          <w:b/>
        </w:rPr>
        <w:t xml:space="preserve">United States: Iowa: Black Hawk County: </w:t>
      </w:r>
      <w:r>
        <w:t>Waterloo, Heartland Farms, 5111 Osage Rd, 42</w:t>
      </w:r>
      <w:r>
        <w:rPr>
          <w:rFonts w:ascii="Cambria" w:hAnsi="Cambria"/>
        </w:rPr>
        <w:t xml:space="preserve">°28’59.27”N 92°10’47.41”W, 280 m elevation, </w:t>
      </w:r>
      <w:r w:rsidR="00993A84">
        <w:rPr>
          <w:rFonts w:ascii="Cambria" w:hAnsi="Cambria"/>
          <w:i/>
        </w:rPr>
        <w:t>Reut</w:t>
      </w:r>
      <w:r>
        <w:rPr>
          <w:rFonts w:ascii="Cambria" w:hAnsi="Cambria"/>
          <w:i/>
        </w:rPr>
        <w:t xml:space="preserve">er 2.  </w:t>
      </w:r>
      <w:r>
        <w:rPr>
          <w:rFonts w:ascii="Cambria" w:hAnsi="Cambria"/>
          <w:b/>
        </w:rPr>
        <w:t xml:space="preserve">Des Moines County:  </w:t>
      </w:r>
      <w:r>
        <w:rPr>
          <w:rFonts w:ascii="Cambria" w:hAnsi="Cambria"/>
        </w:rPr>
        <w:t xml:space="preserve">Burlington, </w:t>
      </w:r>
      <w:proofErr w:type="spellStart"/>
      <w:r>
        <w:rPr>
          <w:rFonts w:ascii="Cambria" w:hAnsi="Cambria"/>
        </w:rPr>
        <w:t>Gerst</w:t>
      </w:r>
      <w:proofErr w:type="spellEnd"/>
      <w:r>
        <w:rPr>
          <w:rFonts w:ascii="Cambria" w:hAnsi="Cambria"/>
        </w:rPr>
        <w:t xml:space="preserve"> Family Farms, 3.2 mi west of US Hwy 99 on 125</w:t>
      </w:r>
      <w:r w:rsidRPr="00A30C1E">
        <w:rPr>
          <w:rFonts w:ascii="Cambria" w:hAnsi="Cambria"/>
          <w:vertAlign w:val="superscript"/>
        </w:rPr>
        <w:t>th</w:t>
      </w:r>
      <w:r>
        <w:rPr>
          <w:rFonts w:ascii="Cambria" w:hAnsi="Cambria"/>
        </w:rPr>
        <w:t xml:space="preserve"> St, growing </w:t>
      </w:r>
      <w:proofErr w:type="spellStart"/>
      <w:r>
        <w:rPr>
          <w:rFonts w:ascii="Cambria" w:hAnsi="Cambria"/>
        </w:rPr>
        <w:t>amist</w:t>
      </w:r>
      <w:proofErr w:type="spellEnd"/>
      <w:r>
        <w:rPr>
          <w:rFonts w:ascii="Cambria" w:hAnsi="Cambria"/>
        </w:rPr>
        <w:t xml:space="preserve"> </w:t>
      </w:r>
      <w:proofErr w:type="spellStart"/>
      <w:r>
        <w:rPr>
          <w:rFonts w:ascii="Cambria" w:hAnsi="Cambria"/>
        </w:rPr>
        <w:t>Poaceae</w:t>
      </w:r>
      <w:proofErr w:type="spellEnd"/>
      <w:r>
        <w:rPr>
          <w:rFonts w:ascii="Cambria" w:hAnsi="Cambria"/>
        </w:rPr>
        <w:t xml:space="preserve">, 40°51’54.40”N 91°05’21.00”W, 162 m elevation, </w:t>
      </w:r>
      <w:r>
        <w:rPr>
          <w:rFonts w:ascii="Cambria" w:hAnsi="Cambria"/>
          <w:i/>
        </w:rPr>
        <w:t>Lees and Stuart 53.</w:t>
      </w:r>
    </w:p>
    <w:p w:rsidR="00A30C1E" w:rsidRPr="00A30C1E" w:rsidRDefault="00A30C1E" w:rsidP="002752B5">
      <w:pPr>
        <w:spacing w:line="480" w:lineRule="auto"/>
      </w:pPr>
    </w:p>
    <w:p w:rsidR="00A30C1E" w:rsidRDefault="00A30C1E" w:rsidP="002752B5">
      <w:pPr>
        <w:spacing w:line="480" w:lineRule="auto"/>
        <w:jc w:val="center"/>
        <w:rPr>
          <w:b/>
          <w:u w:val="single"/>
        </w:rPr>
      </w:pPr>
      <w:proofErr w:type="spellStart"/>
      <w:r w:rsidRPr="00A30C1E">
        <w:rPr>
          <w:i/>
          <w:u w:val="single"/>
        </w:rPr>
        <w:t>Fragaria</w:t>
      </w:r>
      <w:proofErr w:type="spellEnd"/>
      <w:r w:rsidRPr="00A30C1E">
        <w:rPr>
          <w:i/>
          <w:u w:val="single"/>
        </w:rPr>
        <w:t xml:space="preserve"> x </w:t>
      </w:r>
      <w:proofErr w:type="spellStart"/>
      <w:r w:rsidRPr="00A30C1E">
        <w:rPr>
          <w:i/>
          <w:u w:val="single"/>
        </w:rPr>
        <w:t>ananassa</w:t>
      </w:r>
      <w:proofErr w:type="spellEnd"/>
      <w:r w:rsidRPr="00A30C1E">
        <w:rPr>
          <w:i/>
          <w:u w:val="single"/>
        </w:rPr>
        <w:t xml:space="preserve"> </w:t>
      </w:r>
      <w:r w:rsidRPr="00A30C1E">
        <w:rPr>
          <w:u w:val="single"/>
        </w:rPr>
        <w:t xml:space="preserve"> (Weston) Duchesne </w:t>
      </w:r>
      <w:r w:rsidRPr="00A30C1E">
        <w:rPr>
          <w:i/>
          <w:u w:val="single"/>
        </w:rPr>
        <w:t>ex</w:t>
      </w:r>
      <w:r w:rsidRPr="00A30C1E">
        <w:rPr>
          <w:u w:val="single"/>
        </w:rPr>
        <w:t xml:space="preserve"> </w:t>
      </w:r>
      <w:proofErr w:type="spellStart"/>
      <w:r w:rsidRPr="00A30C1E">
        <w:rPr>
          <w:u w:val="single"/>
        </w:rPr>
        <w:t>Rozier</w:t>
      </w:r>
      <w:proofErr w:type="spellEnd"/>
      <w:r w:rsidRPr="00A30C1E">
        <w:rPr>
          <w:u w:val="single"/>
        </w:rPr>
        <w:t xml:space="preserve"> var. Mesabi</w:t>
      </w:r>
      <w:r w:rsidRPr="00A30C1E">
        <w:rPr>
          <w:b/>
          <w:u w:val="single"/>
        </w:rPr>
        <w:t xml:space="preserve"> </w:t>
      </w:r>
    </w:p>
    <w:p w:rsidR="00A30C1E" w:rsidRDefault="00A30C1E" w:rsidP="002752B5">
      <w:pPr>
        <w:spacing w:line="480" w:lineRule="auto"/>
        <w:rPr>
          <w:rFonts w:ascii="Cambria" w:hAnsi="Cambria"/>
          <w:i/>
        </w:rPr>
      </w:pPr>
      <w:r>
        <w:rPr>
          <w:b/>
        </w:rPr>
        <w:t xml:space="preserve">United States: Iowa: Black Hawk County: </w:t>
      </w:r>
      <w:r>
        <w:t>Waterloo, Heartland Farms, 5111 Osage Rd, 42</w:t>
      </w:r>
      <w:r>
        <w:rPr>
          <w:rFonts w:ascii="Cambria" w:hAnsi="Cambria"/>
        </w:rPr>
        <w:t xml:space="preserve">°28’59.27”N 92°10’47.41”W, 280 m elevation, </w:t>
      </w:r>
      <w:r w:rsidR="00993A84">
        <w:rPr>
          <w:rFonts w:ascii="Cambria" w:hAnsi="Cambria"/>
          <w:i/>
        </w:rPr>
        <w:t>Reut</w:t>
      </w:r>
      <w:r>
        <w:rPr>
          <w:rFonts w:ascii="Cambria" w:hAnsi="Cambria"/>
          <w:i/>
        </w:rPr>
        <w:t>er 3.</w:t>
      </w:r>
    </w:p>
    <w:p w:rsidR="00A30C1E" w:rsidRDefault="00A30C1E" w:rsidP="002752B5">
      <w:pPr>
        <w:spacing w:line="480" w:lineRule="auto"/>
        <w:rPr>
          <w:rFonts w:ascii="Cambria" w:hAnsi="Cambria"/>
          <w:i/>
        </w:rPr>
      </w:pPr>
    </w:p>
    <w:p w:rsidR="00A30C1E" w:rsidRDefault="00A30C1E" w:rsidP="002752B5">
      <w:pPr>
        <w:spacing w:line="480" w:lineRule="auto"/>
        <w:jc w:val="center"/>
        <w:rPr>
          <w:i/>
          <w:u w:val="single"/>
        </w:rPr>
      </w:pPr>
      <w:proofErr w:type="spellStart"/>
      <w:r w:rsidRPr="00A30C1E">
        <w:rPr>
          <w:i/>
          <w:u w:val="single"/>
        </w:rPr>
        <w:t>Fragaria</w:t>
      </w:r>
      <w:proofErr w:type="spellEnd"/>
      <w:r w:rsidRPr="00A30C1E">
        <w:rPr>
          <w:i/>
          <w:u w:val="single"/>
        </w:rPr>
        <w:t xml:space="preserve"> x </w:t>
      </w:r>
      <w:proofErr w:type="spellStart"/>
      <w:proofErr w:type="gramStart"/>
      <w:r w:rsidRPr="00A30C1E">
        <w:rPr>
          <w:i/>
          <w:u w:val="single"/>
        </w:rPr>
        <w:t>ananassa</w:t>
      </w:r>
      <w:proofErr w:type="spellEnd"/>
      <w:r w:rsidRPr="00A30C1E">
        <w:rPr>
          <w:i/>
          <w:u w:val="single"/>
        </w:rPr>
        <w:t xml:space="preserve"> </w:t>
      </w:r>
      <w:r w:rsidRPr="00A30C1E">
        <w:rPr>
          <w:u w:val="single"/>
        </w:rPr>
        <w:t xml:space="preserve"> (</w:t>
      </w:r>
      <w:proofErr w:type="gramEnd"/>
      <w:r w:rsidRPr="00A30C1E">
        <w:rPr>
          <w:u w:val="single"/>
        </w:rPr>
        <w:t xml:space="preserve">Weston) Duchesne </w:t>
      </w:r>
      <w:r w:rsidRPr="00A30C1E">
        <w:rPr>
          <w:i/>
          <w:u w:val="single"/>
        </w:rPr>
        <w:t>ex</w:t>
      </w:r>
      <w:r w:rsidRPr="00A30C1E">
        <w:rPr>
          <w:u w:val="single"/>
        </w:rPr>
        <w:t xml:space="preserve"> </w:t>
      </w:r>
      <w:proofErr w:type="spellStart"/>
      <w:r w:rsidRPr="00A30C1E">
        <w:rPr>
          <w:u w:val="single"/>
        </w:rPr>
        <w:t>Rozier</w:t>
      </w:r>
      <w:proofErr w:type="spellEnd"/>
      <w:r w:rsidRPr="00A30C1E">
        <w:rPr>
          <w:u w:val="single"/>
        </w:rPr>
        <w:t xml:space="preserve"> var. </w:t>
      </w:r>
      <w:proofErr w:type="spellStart"/>
      <w:r>
        <w:rPr>
          <w:i/>
          <w:u w:val="single"/>
        </w:rPr>
        <w:t>s.n</w:t>
      </w:r>
      <w:proofErr w:type="spellEnd"/>
      <w:r>
        <w:rPr>
          <w:i/>
          <w:u w:val="single"/>
        </w:rPr>
        <w:t>.</w:t>
      </w:r>
    </w:p>
    <w:p w:rsidR="00A30C1E" w:rsidRPr="00E50735" w:rsidRDefault="00A30C1E" w:rsidP="002752B5">
      <w:pPr>
        <w:spacing w:line="480" w:lineRule="auto"/>
      </w:pPr>
      <w:r>
        <w:rPr>
          <w:b/>
        </w:rPr>
        <w:t xml:space="preserve">United States: California: </w:t>
      </w:r>
      <w:r w:rsidR="00E50735">
        <w:t xml:space="preserve">Sunrise Growers’ growing regions, unknown locality, </w:t>
      </w:r>
      <w:r w:rsidR="00037E6D">
        <w:t xml:space="preserve">purchased from grocery store, </w:t>
      </w:r>
      <w:r w:rsidR="00993A84">
        <w:rPr>
          <w:i/>
        </w:rPr>
        <w:t>Reut</w:t>
      </w:r>
      <w:r w:rsidR="00E50735">
        <w:rPr>
          <w:i/>
        </w:rPr>
        <w:t>er 4</w:t>
      </w:r>
      <w:r w:rsidR="00E50735">
        <w:t>.</w:t>
      </w:r>
    </w:p>
    <w:p w:rsidR="002752B5" w:rsidRDefault="002752B5" w:rsidP="00E50735">
      <w:pPr>
        <w:spacing w:line="480" w:lineRule="auto"/>
        <w:rPr>
          <w:b/>
        </w:rPr>
      </w:pPr>
    </w:p>
    <w:p w:rsidR="0048298A" w:rsidRDefault="002752B5" w:rsidP="00E50735">
      <w:pPr>
        <w:spacing w:line="480" w:lineRule="auto"/>
        <w:rPr>
          <w:b/>
        </w:rPr>
      </w:pPr>
      <w:r>
        <w:rPr>
          <w:b/>
        </w:rPr>
        <w:br w:type="page"/>
      </w:r>
      <w:r w:rsidR="0064333A">
        <w:rPr>
          <w:b/>
        </w:rPr>
        <w:t>Materials and Services</w:t>
      </w:r>
    </w:p>
    <w:p w:rsidR="002752B5" w:rsidRPr="0048298A" w:rsidRDefault="002752B5" w:rsidP="00E50735">
      <w:pPr>
        <w:spacing w:line="480" w:lineRule="auto"/>
        <w:rPr>
          <w:b/>
        </w:rPr>
      </w:pPr>
    </w:p>
    <w:p w:rsidR="00530C16" w:rsidRDefault="00530C16" w:rsidP="002752B5">
      <w:r>
        <w:t>The DNA Facility of the Iowa State University Office of Biotechnology</w:t>
      </w:r>
    </w:p>
    <w:p w:rsidR="00530C16" w:rsidRDefault="00530C16" w:rsidP="002752B5">
      <w:r>
        <w:tab/>
        <w:t>1190 Molecular Biology Building, Ames, IA 50011</w:t>
      </w:r>
    </w:p>
    <w:p w:rsidR="00530C16" w:rsidRDefault="00530C16" w:rsidP="00530C16">
      <w:pPr>
        <w:ind w:firstLine="720"/>
      </w:pPr>
      <w:r>
        <w:t xml:space="preserve">Available online:  </w:t>
      </w:r>
      <w:r w:rsidRPr="00530C16">
        <w:t>http://www.dna.iastate.edu/</w:t>
      </w:r>
    </w:p>
    <w:p w:rsidR="00530C16" w:rsidRDefault="00530C16" w:rsidP="002752B5">
      <w:r>
        <w:tab/>
      </w:r>
      <w:r>
        <w:tab/>
        <w:t>DNA Sequencing</w:t>
      </w:r>
    </w:p>
    <w:p w:rsidR="00530C16" w:rsidRDefault="00530C16" w:rsidP="002752B5"/>
    <w:p w:rsidR="00530C16" w:rsidRDefault="00530C16" w:rsidP="002752B5">
      <w:proofErr w:type="spellStart"/>
      <w:r>
        <w:t>Fermentas</w:t>
      </w:r>
      <w:proofErr w:type="spellEnd"/>
      <w:r>
        <w:t xml:space="preserve"> Life Sciences</w:t>
      </w:r>
    </w:p>
    <w:p w:rsidR="00530C16" w:rsidRDefault="00530C16" w:rsidP="002752B5">
      <w:r>
        <w:tab/>
        <w:t>830 Harrington Court, Burlington, Ontario L7N 3N4</w:t>
      </w:r>
    </w:p>
    <w:p w:rsidR="00530C16" w:rsidRDefault="00530C16" w:rsidP="002752B5">
      <w:r>
        <w:tab/>
        <w:t xml:space="preserve">Available online:  </w:t>
      </w:r>
      <w:r w:rsidRPr="00530C16">
        <w:t>http://fermentas.com/en/home</w:t>
      </w:r>
    </w:p>
    <w:p w:rsidR="0064333A" w:rsidRDefault="00530C16" w:rsidP="002752B5">
      <w:r>
        <w:tab/>
      </w:r>
      <w:r>
        <w:tab/>
      </w:r>
      <w:proofErr w:type="spellStart"/>
      <w:r>
        <w:t>GeneJET</w:t>
      </w:r>
      <w:proofErr w:type="spellEnd"/>
      <w:r>
        <w:t xml:space="preserve"> Plasmid Isolation Kit</w:t>
      </w:r>
    </w:p>
    <w:p w:rsidR="00530C16" w:rsidRDefault="0064333A" w:rsidP="002752B5">
      <w:r>
        <w:tab/>
      </w:r>
      <w:r>
        <w:tab/>
        <w:t>Restriction Enzymes</w:t>
      </w:r>
    </w:p>
    <w:p w:rsidR="00530C16" w:rsidRDefault="00530C16" w:rsidP="002752B5"/>
    <w:p w:rsidR="00BA752D" w:rsidRDefault="00BA752D" w:rsidP="002752B5">
      <w:r>
        <w:t>Fisher Scientific</w:t>
      </w:r>
    </w:p>
    <w:p w:rsidR="00BA752D" w:rsidRDefault="00BA752D" w:rsidP="002752B5">
      <w:r>
        <w:tab/>
        <w:t xml:space="preserve">Available online: </w:t>
      </w:r>
      <w:r w:rsidRPr="00BA752D">
        <w:t>http://www.fishersci.com/wps/portal/HOME</w:t>
      </w:r>
    </w:p>
    <w:p w:rsidR="00BA752D" w:rsidRDefault="00BA752D" w:rsidP="002752B5">
      <w:r>
        <w:tab/>
      </w:r>
      <w:r>
        <w:tab/>
        <w:t>Buffers</w:t>
      </w:r>
    </w:p>
    <w:p w:rsidR="00BA752D" w:rsidRDefault="00BA752D" w:rsidP="002752B5">
      <w:r>
        <w:tab/>
      </w:r>
      <w:r>
        <w:tab/>
        <w:t>Chemicals</w:t>
      </w:r>
    </w:p>
    <w:p w:rsidR="00BA752D" w:rsidRDefault="00BA752D" w:rsidP="002752B5">
      <w:r>
        <w:tab/>
      </w:r>
      <w:r>
        <w:tab/>
      </w:r>
      <w:proofErr w:type="spellStart"/>
      <w:r>
        <w:t>Oligos</w:t>
      </w:r>
      <w:proofErr w:type="spellEnd"/>
    </w:p>
    <w:p w:rsidR="00BA752D" w:rsidRDefault="00BA752D" w:rsidP="002752B5"/>
    <w:p w:rsidR="0064333A" w:rsidRDefault="0064333A" w:rsidP="002752B5">
      <w:r>
        <w:t>Integrated DNA Technologies</w:t>
      </w:r>
    </w:p>
    <w:p w:rsidR="0064333A" w:rsidRDefault="0064333A" w:rsidP="002752B5">
      <w:r>
        <w:tab/>
        <w:t>Available online:  http://idtdna.</w:t>
      </w:r>
      <w:r w:rsidR="00BA752D">
        <w:t>com/Home/Home.</w:t>
      </w:r>
      <w:r>
        <w:t>aspx</w:t>
      </w:r>
    </w:p>
    <w:p w:rsidR="0064333A" w:rsidRDefault="0064333A" w:rsidP="002752B5">
      <w:r>
        <w:tab/>
      </w:r>
      <w:r>
        <w:tab/>
        <w:t>Primers</w:t>
      </w:r>
    </w:p>
    <w:p w:rsidR="0064333A" w:rsidRDefault="0064333A" w:rsidP="002752B5"/>
    <w:p w:rsidR="002752B5" w:rsidRDefault="002752B5" w:rsidP="002752B5">
      <w:proofErr w:type="spellStart"/>
      <w:r>
        <w:t>Promega</w:t>
      </w:r>
      <w:proofErr w:type="spellEnd"/>
      <w:r>
        <w:t xml:space="preserve"> Corporation</w:t>
      </w:r>
    </w:p>
    <w:p w:rsidR="002752B5" w:rsidRDefault="002752B5" w:rsidP="002752B5">
      <w:r>
        <w:tab/>
        <w:t>2800 Woods Hollow Road, Madison</w:t>
      </w:r>
      <w:r w:rsidR="00530C16">
        <w:t>,</w:t>
      </w:r>
      <w:r>
        <w:t xml:space="preserve"> WI 53711</w:t>
      </w:r>
    </w:p>
    <w:p w:rsidR="002752B5" w:rsidRDefault="002752B5" w:rsidP="002752B5">
      <w:r>
        <w:tab/>
        <w:t>Available online</w:t>
      </w:r>
      <w:r w:rsidR="00530C16">
        <w:t xml:space="preserve">: </w:t>
      </w:r>
      <w:r>
        <w:t xml:space="preserve"> </w:t>
      </w:r>
      <w:r w:rsidRPr="00530C16">
        <w:t>http://www.promega.com/Default.asp</w:t>
      </w:r>
    </w:p>
    <w:p w:rsidR="002752B5" w:rsidRDefault="002752B5" w:rsidP="002752B5">
      <w:r>
        <w:tab/>
      </w:r>
      <w:r>
        <w:tab/>
      </w:r>
      <w:proofErr w:type="spellStart"/>
      <w:proofErr w:type="gramStart"/>
      <w:r>
        <w:t>pGEM</w:t>
      </w:r>
      <w:proofErr w:type="spellEnd"/>
      <w:r>
        <w:t>-T</w:t>
      </w:r>
      <w:proofErr w:type="gramEnd"/>
      <w:r>
        <w:t xml:space="preserve"> and </w:t>
      </w:r>
      <w:proofErr w:type="spellStart"/>
      <w:r>
        <w:t>pGEM</w:t>
      </w:r>
      <w:proofErr w:type="spellEnd"/>
      <w:r>
        <w:t>-T Easy Vector System</w:t>
      </w:r>
    </w:p>
    <w:p w:rsidR="002752B5" w:rsidRDefault="002752B5" w:rsidP="002752B5"/>
    <w:p w:rsidR="002752B5" w:rsidRDefault="002752B5" w:rsidP="002752B5">
      <w:r>
        <w:t xml:space="preserve">QIAGEN Sample and Assay Technologies Inc.  </w:t>
      </w:r>
    </w:p>
    <w:p w:rsidR="002752B5" w:rsidRDefault="002752B5" w:rsidP="002752B5">
      <w:pPr>
        <w:ind w:firstLine="720"/>
      </w:pPr>
      <w:r>
        <w:t xml:space="preserve">27220 </w:t>
      </w:r>
      <w:proofErr w:type="spellStart"/>
      <w:r>
        <w:t>Turnberry</w:t>
      </w:r>
      <w:proofErr w:type="spellEnd"/>
      <w:r>
        <w:t xml:space="preserve"> Lane, Valencia</w:t>
      </w:r>
      <w:r w:rsidR="00530C16">
        <w:t>,</w:t>
      </w:r>
      <w:r>
        <w:t xml:space="preserve"> CA 91355.  </w:t>
      </w:r>
    </w:p>
    <w:p w:rsidR="00531F4E" w:rsidRDefault="002752B5" w:rsidP="002752B5">
      <w:pPr>
        <w:ind w:firstLine="720"/>
      </w:pPr>
      <w:r>
        <w:t>Available online</w:t>
      </w:r>
      <w:r w:rsidR="00530C16">
        <w:t xml:space="preserve">: </w:t>
      </w:r>
      <w:r>
        <w:t xml:space="preserve"> </w:t>
      </w:r>
      <w:r w:rsidR="00531F4E" w:rsidRPr="00531F4E">
        <w:t>http://www1.qiagen.com/</w:t>
      </w:r>
    </w:p>
    <w:p w:rsidR="002752B5" w:rsidRDefault="00531F4E" w:rsidP="002752B5">
      <w:pPr>
        <w:ind w:firstLine="720"/>
      </w:pPr>
      <w:r>
        <w:tab/>
        <w:t>1-Step RT-PCR Kit</w:t>
      </w:r>
    </w:p>
    <w:p w:rsidR="002752B5" w:rsidRDefault="002752B5" w:rsidP="002752B5">
      <w:pPr>
        <w:ind w:firstLine="720"/>
      </w:pPr>
      <w:r>
        <w:tab/>
      </w:r>
      <w:proofErr w:type="spellStart"/>
      <w:r>
        <w:t>AlQuick</w:t>
      </w:r>
      <w:proofErr w:type="spellEnd"/>
      <w:r>
        <w:t xml:space="preserve"> Gel Extraction Kit</w:t>
      </w:r>
    </w:p>
    <w:p w:rsidR="002752B5" w:rsidRDefault="002752B5" w:rsidP="002752B5">
      <w:pPr>
        <w:ind w:firstLine="720"/>
      </w:pPr>
      <w:r>
        <w:tab/>
      </w:r>
      <w:proofErr w:type="spellStart"/>
      <w:r>
        <w:t>AlQuick</w:t>
      </w:r>
      <w:proofErr w:type="spellEnd"/>
      <w:r>
        <w:t xml:space="preserve"> PCR </w:t>
      </w:r>
      <w:proofErr w:type="spellStart"/>
      <w:r>
        <w:t>Purifiction</w:t>
      </w:r>
      <w:proofErr w:type="spellEnd"/>
      <w:r>
        <w:t xml:space="preserve"> Kit</w:t>
      </w:r>
    </w:p>
    <w:p w:rsidR="0048298A" w:rsidRDefault="002752B5" w:rsidP="002752B5">
      <w:pPr>
        <w:ind w:left="720" w:firstLine="720"/>
        <w:rPr>
          <w:b/>
        </w:rPr>
      </w:pPr>
      <w:proofErr w:type="spellStart"/>
      <w:r>
        <w:t>DNeasy</w:t>
      </w:r>
      <w:proofErr w:type="spellEnd"/>
      <w:r>
        <w:t xml:space="preserve"> Plant </w:t>
      </w:r>
      <w:proofErr w:type="spellStart"/>
      <w:r>
        <w:t>Minikit</w:t>
      </w:r>
      <w:proofErr w:type="spellEnd"/>
    </w:p>
    <w:p w:rsidR="0048298A" w:rsidRDefault="0048298A" w:rsidP="0048298A">
      <w:pPr>
        <w:rPr>
          <w:b/>
        </w:rPr>
      </w:pPr>
      <w:r>
        <w:rPr>
          <w:b/>
        </w:rPr>
        <w:br w:type="page"/>
      </w:r>
      <w:r w:rsidR="00A30C1E">
        <w:rPr>
          <w:b/>
        </w:rPr>
        <w:t>References</w:t>
      </w:r>
    </w:p>
    <w:p w:rsidR="009666F6" w:rsidRPr="002752B5" w:rsidRDefault="009666F6" w:rsidP="002752B5">
      <w:pPr>
        <w:ind w:left="720" w:firstLine="720"/>
      </w:pPr>
    </w:p>
    <w:p w:rsidR="003340C6" w:rsidRDefault="003340C6" w:rsidP="00715A3A">
      <w:proofErr w:type="spellStart"/>
      <w:r>
        <w:t>Aharoni</w:t>
      </w:r>
      <w:proofErr w:type="spellEnd"/>
      <w:r>
        <w:t xml:space="preserve">, A., A.P. </w:t>
      </w:r>
      <w:proofErr w:type="spellStart"/>
      <w:r>
        <w:t>Giri</w:t>
      </w:r>
      <w:proofErr w:type="spellEnd"/>
      <w:r>
        <w:t xml:space="preserve">, F.W.A. </w:t>
      </w:r>
      <w:proofErr w:type="spellStart"/>
      <w:r>
        <w:t>Verstappen</w:t>
      </w:r>
      <w:proofErr w:type="spellEnd"/>
      <w:r>
        <w:t xml:space="preserve">, C.M. </w:t>
      </w:r>
      <w:proofErr w:type="spellStart"/>
      <w:r>
        <w:t>Bertea</w:t>
      </w:r>
      <w:proofErr w:type="spellEnd"/>
      <w:r>
        <w:t xml:space="preserve">, R. </w:t>
      </w:r>
      <w:proofErr w:type="spellStart"/>
      <w:r>
        <w:t>Sevenier</w:t>
      </w:r>
      <w:proofErr w:type="spellEnd"/>
      <w:r>
        <w:t>, Z. Sun, M.A.</w:t>
      </w:r>
    </w:p>
    <w:p w:rsidR="003340C6" w:rsidRDefault="003340C6" w:rsidP="00715A3A">
      <w:pPr>
        <w:ind w:firstLine="720"/>
      </w:pPr>
      <w:proofErr w:type="spellStart"/>
      <w:r>
        <w:t>Jongsma</w:t>
      </w:r>
      <w:proofErr w:type="spellEnd"/>
      <w:r>
        <w:t xml:space="preserve">, W. Schwab, and H.J. </w:t>
      </w:r>
      <w:proofErr w:type="spellStart"/>
      <w:r>
        <w:t>Bouwmeester</w:t>
      </w:r>
      <w:proofErr w:type="spellEnd"/>
      <w:r>
        <w:t xml:space="preserve">.  2004.  Gain and Loss of Fruit </w:t>
      </w:r>
    </w:p>
    <w:p w:rsidR="003340C6" w:rsidRDefault="003340C6" w:rsidP="00715A3A">
      <w:pPr>
        <w:ind w:firstLine="720"/>
        <w:rPr>
          <w:i/>
        </w:rPr>
      </w:pPr>
      <w:r>
        <w:t xml:space="preserve">Flavor Compounds Produced by Wild and Cultivated Strawberry Species.  </w:t>
      </w:r>
    </w:p>
    <w:p w:rsidR="00DD4C02" w:rsidRDefault="003340C6" w:rsidP="00715A3A">
      <w:pPr>
        <w:ind w:firstLine="720"/>
      </w:pPr>
      <w:r>
        <w:rPr>
          <w:i/>
        </w:rPr>
        <w:t xml:space="preserve">The Plant Cell </w:t>
      </w:r>
      <w:r>
        <w:t>16: 3110-3131.</w:t>
      </w:r>
    </w:p>
    <w:p w:rsidR="00715A3A" w:rsidRDefault="00715A3A" w:rsidP="00715A3A"/>
    <w:p w:rsidR="00582F51" w:rsidRDefault="00DD4C02" w:rsidP="00715A3A">
      <w:proofErr w:type="spellStart"/>
      <w:r>
        <w:t>Aharoni</w:t>
      </w:r>
      <w:proofErr w:type="spellEnd"/>
      <w:r>
        <w:t xml:space="preserve">, A., L.C.P. Keizer, H.J. </w:t>
      </w:r>
      <w:proofErr w:type="spellStart"/>
      <w:r>
        <w:t>Bouwmeester</w:t>
      </w:r>
      <w:proofErr w:type="spellEnd"/>
      <w:r>
        <w:t xml:space="preserve">, </w:t>
      </w:r>
      <w:r w:rsidR="00582F51">
        <w:t>Z. Sun, M. Alvarez-Huerta, H.A.</w:t>
      </w:r>
    </w:p>
    <w:p w:rsidR="00582F51" w:rsidRDefault="00DD4C02" w:rsidP="00715A3A">
      <w:pPr>
        <w:ind w:firstLine="720"/>
      </w:pPr>
      <w:proofErr w:type="spellStart"/>
      <w:r>
        <w:t>Verhoeven</w:t>
      </w:r>
      <w:proofErr w:type="spellEnd"/>
      <w:r>
        <w:t xml:space="preserve">, J. </w:t>
      </w:r>
      <w:proofErr w:type="spellStart"/>
      <w:r>
        <w:t>Blaas</w:t>
      </w:r>
      <w:proofErr w:type="spellEnd"/>
      <w:r>
        <w:t xml:space="preserve">, A.M.M.L. van </w:t>
      </w:r>
      <w:proofErr w:type="spellStart"/>
      <w:r>
        <w:t>Houwelingen</w:t>
      </w:r>
      <w:proofErr w:type="spellEnd"/>
      <w:r>
        <w:t xml:space="preserve">, </w:t>
      </w:r>
      <w:r w:rsidR="00582F51">
        <w:t xml:space="preserve">R.C.H. De </w:t>
      </w:r>
      <w:proofErr w:type="spellStart"/>
      <w:r w:rsidR="00582F51">
        <w:t>Vos</w:t>
      </w:r>
      <w:proofErr w:type="spellEnd"/>
      <w:r w:rsidR="00582F51">
        <w:t xml:space="preserve">, H. van </w:t>
      </w:r>
      <w:proofErr w:type="spellStart"/>
      <w:r w:rsidR="00582F51">
        <w:t>der</w:t>
      </w:r>
      <w:proofErr w:type="spellEnd"/>
      <w:r w:rsidR="00582F51">
        <w:t xml:space="preserve"> </w:t>
      </w:r>
      <w:proofErr w:type="spellStart"/>
      <w:r w:rsidR="00582F51">
        <w:t>Voet</w:t>
      </w:r>
      <w:proofErr w:type="spellEnd"/>
      <w:r w:rsidR="00582F51">
        <w:t>,</w:t>
      </w:r>
    </w:p>
    <w:p w:rsidR="00D92355" w:rsidRDefault="00DD4C02" w:rsidP="00715A3A">
      <w:pPr>
        <w:ind w:left="720"/>
      </w:pPr>
      <w:r>
        <w:t xml:space="preserve">R.C. Jansen, M. </w:t>
      </w:r>
      <w:proofErr w:type="spellStart"/>
      <w:r>
        <w:t>Guis</w:t>
      </w:r>
      <w:proofErr w:type="spellEnd"/>
      <w:r>
        <w:t xml:space="preserve">, J. Mol, R.W. Davis, M. </w:t>
      </w:r>
      <w:proofErr w:type="spellStart"/>
      <w:r>
        <w:t>Schena</w:t>
      </w:r>
      <w:proofErr w:type="spellEnd"/>
      <w:r>
        <w:t xml:space="preserve">, A.J. van </w:t>
      </w:r>
      <w:proofErr w:type="spellStart"/>
      <w:r>
        <w:t>Tunen</w:t>
      </w:r>
      <w:proofErr w:type="spellEnd"/>
      <w:r>
        <w:t>, and A.P. O’Connell</w:t>
      </w:r>
      <w:r w:rsidR="00582F51">
        <w:t>.  2000</w:t>
      </w:r>
      <w:r w:rsidR="00D92355">
        <w:t>a</w:t>
      </w:r>
      <w:r w:rsidR="00582F51">
        <w:t xml:space="preserve">.  </w:t>
      </w:r>
      <w:proofErr w:type="spellStart"/>
      <w:r w:rsidR="00582F51">
        <w:t>Identifiation</w:t>
      </w:r>
      <w:proofErr w:type="spellEnd"/>
      <w:r w:rsidR="00582F51">
        <w:t xml:space="preserve"> of the SAAT Gene involved in Strawberry Flavor </w:t>
      </w:r>
      <w:proofErr w:type="spellStart"/>
      <w:r w:rsidR="00582F51">
        <w:t>Biogensis</w:t>
      </w:r>
      <w:proofErr w:type="spellEnd"/>
      <w:r w:rsidR="00582F51">
        <w:t xml:space="preserve">.  </w:t>
      </w:r>
      <w:r w:rsidR="00582F51">
        <w:rPr>
          <w:i/>
        </w:rPr>
        <w:t xml:space="preserve">The Plant Cell </w:t>
      </w:r>
      <w:r w:rsidR="00582F51">
        <w:t>12: 647-661.</w:t>
      </w:r>
    </w:p>
    <w:p w:rsidR="00715A3A" w:rsidRDefault="00715A3A" w:rsidP="00715A3A"/>
    <w:p w:rsidR="00D92355" w:rsidRDefault="00D92355" w:rsidP="00715A3A">
      <w:proofErr w:type="spellStart"/>
      <w:r>
        <w:t>Beekwilder</w:t>
      </w:r>
      <w:proofErr w:type="spellEnd"/>
      <w:r>
        <w:t xml:space="preserve">, J., M. Alvarez-Huerta, E. </w:t>
      </w:r>
      <w:proofErr w:type="spellStart"/>
      <w:r>
        <w:t>Neef</w:t>
      </w:r>
      <w:proofErr w:type="spellEnd"/>
      <w:r>
        <w:t xml:space="preserve">, F.W.A. </w:t>
      </w:r>
      <w:proofErr w:type="spellStart"/>
      <w:r>
        <w:t>Verstappen</w:t>
      </w:r>
      <w:proofErr w:type="spellEnd"/>
      <w:r>
        <w:t xml:space="preserve">, H.J. </w:t>
      </w:r>
      <w:proofErr w:type="spellStart"/>
      <w:r>
        <w:t>Bouwmeester</w:t>
      </w:r>
      <w:proofErr w:type="spellEnd"/>
      <w:r>
        <w:t>, and</w:t>
      </w:r>
    </w:p>
    <w:p w:rsidR="00D92355" w:rsidRPr="00D92355" w:rsidRDefault="00D92355" w:rsidP="00715A3A">
      <w:pPr>
        <w:ind w:left="720"/>
      </w:pPr>
      <w:r>
        <w:t xml:space="preserve">A. </w:t>
      </w:r>
      <w:proofErr w:type="spellStart"/>
      <w:r>
        <w:t>Aharoni</w:t>
      </w:r>
      <w:proofErr w:type="spellEnd"/>
      <w:r>
        <w:t xml:space="preserve">.  2004.  Functional Characterization of Enzymes Forming Volatile Esters from Strawberry and Banana.  </w:t>
      </w:r>
      <w:r>
        <w:rPr>
          <w:i/>
        </w:rPr>
        <w:t xml:space="preserve">Plant Physiology </w:t>
      </w:r>
      <w:r>
        <w:t>135: 1865-1878.</w:t>
      </w:r>
    </w:p>
    <w:p w:rsidR="00715A3A" w:rsidRDefault="00715A3A" w:rsidP="00715A3A"/>
    <w:p w:rsidR="00137004" w:rsidRDefault="00137004" w:rsidP="00715A3A">
      <w:r>
        <w:t>BLAST.  2009.  Basic Local Alignment Search Tool.   Available from</w:t>
      </w:r>
    </w:p>
    <w:p w:rsidR="00582F51" w:rsidRDefault="00137004" w:rsidP="00715A3A">
      <w:r>
        <w:tab/>
      </w:r>
      <w:r w:rsidRPr="00137004">
        <w:t>http://blast.ncbi.nlm.nih.gov/Blast.cgi</w:t>
      </w:r>
      <w:r>
        <w:t>.  Accessed 10 November 2009.</w:t>
      </w:r>
    </w:p>
    <w:p w:rsidR="00715A3A" w:rsidRDefault="00715A3A" w:rsidP="00715A3A"/>
    <w:p w:rsidR="00582F51" w:rsidRDefault="00582F51" w:rsidP="00715A3A">
      <w:proofErr w:type="gramStart"/>
      <w:r>
        <w:t xml:space="preserve">The </w:t>
      </w:r>
      <w:proofErr w:type="spellStart"/>
      <w:r>
        <w:t>Biobricks</w:t>
      </w:r>
      <w:proofErr w:type="spellEnd"/>
      <w:r>
        <w:t xml:space="preserve"> Foundation.</w:t>
      </w:r>
      <w:proofErr w:type="gramEnd"/>
      <w:r>
        <w:t xml:space="preserve">  2009.  Available from </w:t>
      </w:r>
      <w:r w:rsidRPr="00582F51">
        <w:t>http://bbf.openwebware.org/</w:t>
      </w:r>
    </w:p>
    <w:p w:rsidR="00137004" w:rsidRDefault="00582F51" w:rsidP="00715A3A">
      <w:r>
        <w:tab/>
        <w:t>Accessed 1 September 2009.</w:t>
      </w:r>
    </w:p>
    <w:p w:rsidR="00715A3A" w:rsidRDefault="00715A3A" w:rsidP="00715A3A"/>
    <w:p w:rsidR="00037E6D" w:rsidRDefault="00037E6D" w:rsidP="00715A3A">
      <w:proofErr w:type="spellStart"/>
      <w:r>
        <w:t>Genbank</w:t>
      </w:r>
      <w:proofErr w:type="spellEnd"/>
      <w:r>
        <w:t>.  2009.  National Center for Biotechnology Information.  Available from</w:t>
      </w:r>
    </w:p>
    <w:p w:rsidR="002752B5" w:rsidRDefault="00037E6D" w:rsidP="002752B5">
      <w:r>
        <w:tab/>
      </w:r>
      <w:r w:rsidRPr="00037E6D">
        <w:t>www.ncbi.nlm.nih.gov</w:t>
      </w:r>
      <w:proofErr w:type="gramStart"/>
      <w:r>
        <w:t>.  Accessed</w:t>
      </w:r>
      <w:proofErr w:type="gramEnd"/>
      <w:r>
        <w:t xml:space="preserve"> 15 September 2009.</w:t>
      </w:r>
    </w:p>
    <w:p w:rsidR="00715A3A" w:rsidRDefault="00715A3A" w:rsidP="002752B5"/>
    <w:p w:rsidR="00B06466" w:rsidRDefault="00B06466" w:rsidP="00715A3A">
      <w:r w:rsidRPr="00715A3A">
        <w:rPr>
          <w:lang w:val="de-DE"/>
        </w:rPr>
        <w:t xml:space="preserve">Kiefer, E., W. Heller and D. Ernst.  </w:t>
      </w:r>
      <w:r w:rsidRPr="00B06466">
        <w:t xml:space="preserve">2008.  A Simple and Efficient Protocol for </w:t>
      </w:r>
      <w:r>
        <w:t>Isolation</w:t>
      </w:r>
    </w:p>
    <w:p w:rsidR="00B06466" w:rsidRPr="00B06466" w:rsidRDefault="00B06466" w:rsidP="00715A3A">
      <w:pPr>
        <w:ind w:left="720"/>
      </w:pPr>
      <w:proofErr w:type="gramStart"/>
      <w:r w:rsidRPr="00B06466">
        <w:t>of</w:t>
      </w:r>
      <w:proofErr w:type="gramEnd"/>
      <w:r w:rsidRPr="00B06466">
        <w:t xml:space="preserve"> Functional RNA from Plant Tissues Rich in Secondary Metabolites.  </w:t>
      </w:r>
      <w:r w:rsidRPr="00B06466">
        <w:rPr>
          <w:i/>
          <w:iCs/>
        </w:rPr>
        <w:t xml:space="preserve">Plant Molecular Biology Reporter </w:t>
      </w:r>
      <w:r w:rsidRPr="00B06466">
        <w:t>18(1): 33-39.</w:t>
      </w:r>
    </w:p>
    <w:p w:rsidR="00715A3A" w:rsidRDefault="00715A3A" w:rsidP="00715A3A"/>
    <w:p w:rsidR="00291A7D" w:rsidRPr="00715A3A" w:rsidRDefault="00291A7D" w:rsidP="00715A3A">
      <w:pPr>
        <w:rPr>
          <w:lang w:val="de-DE"/>
        </w:rPr>
      </w:pPr>
      <w:r w:rsidRPr="00993A84">
        <w:rPr>
          <w:lang w:val="de-DE"/>
        </w:rPr>
        <w:t xml:space="preserve">Klein, D., B. Fink, B. Arold, W. Eisenreich, and W. Schwab.  </w:t>
      </w:r>
      <w:r w:rsidRPr="00715A3A">
        <w:rPr>
          <w:lang w:val="de-DE"/>
        </w:rPr>
        <w:t>2007.  Functional</w:t>
      </w:r>
    </w:p>
    <w:p w:rsidR="00037E6D" w:rsidRDefault="00291A7D" w:rsidP="00715A3A">
      <w:pPr>
        <w:ind w:left="720"/>
      </w:pPr>
      <w:proofErr w:type="gramStart"/>
      <w:r w:rsidRPr="00291A7D">
        <w:t xml:space="preserve">Characterization of </w:t>
      </w:r>
      <w:proofErr w:type="spellStart"/>
      <w:r w:rsidRPr="00291A7D">
        <w:t>Enone</w:t>
      </w:r>
      <w:proofErr w:type="spellEnd"/>
      <w:r w:rsidRPr="00291A7D">
        <w:t xml:space="preserve"> </w:t>
      </w:r>
      <w:proofErr w:type="spellStart"/>
      <w:r w:rsidRPr="00291A7D">
        <w:t>Reductases</w:t>
      </w:r>
      <w:proofErr w:type="spellEnd"/>
      <w:r w:rsidRPr="00291A7D">
        <w:t xml:space="preserve"> from Strawberry and Tomato Fruit.</w:t>
      </w:r>
      <w:proofErr w:type="gramEnd"/>
      <w:r w:rsidRPr="00291A7D">
        <w:t xml:space="preserve"> </w:t>
      </w:r>
      <w:r w:rsidRPr="00291A7D">
        <w:rPr>
          <w:i/>
          <w:iCs/>
        </w:rPr>
        <w:t xml:space="preserve">Journal of Agricultural and Food Chemistry </w:t>
      </w:r>
      <w:r w:rsidRPr="00291A7D">
        <w:t>55: 6705-6711.</w:t>
      </w:r>
    </w:p>
    <w:p w:rsidR="00715A3A" w:rsidRDefault="00715A3A" w:rsidP="00715A3A"/>
    <w:p w:rsidR="009666F6" w:rsidRDefault="009666F6" w:rsidP="00715A3A">
      <w:pPr>
        <w:rPr>
          <w:rFonts w:ascii="Cambria" w:hAnsi="Cambria"/>
        </w:rPr>
      </w:pPr>
      <w:r>
        <w:t xml:space="preserve">Mercado, J.A., I. El </w:t>
      </w:r>
      <w:proofErr w:type="spellStart"/>
      <w:r>
        <w:t>Mansouri</w:t>
      </w:r>
      <w:proofErr w:type="spellEnd"/>
      <w:r>
        <w:t xml:space="preserve">, S. </w:t>
      </w:r>
      <w:proofErr w:type="spellStart"/>
      <w:r>
        <w:t>Jim</w:t>
      </w:r>
      <w:r>
        <w:rPr>
          <w:rFonts w:ascii="Cambria" w:hAnsi="Cambria"/>
        </w:rPr>
        <w:t>énez-Bermúdez</w:t>
      </w:r>
      <w:proofErr w:type="spellEnd"/>
      <w:r>
        <w:rPr>
          <w:rFonts w:ascii="Cambria" w:hAnsi="Cambria"/>
        </w:rPr>
        <w:t xml:space="preserve">, F. </w:t>
      </w:r>
      <w:proofErr w:type="spellStart"/>
      <w:r>
        <w:rPr>
          <w:rFonts w:ascii="Cambria" w:hAnsi="Cambria"/>
        </w:rPr>
        <w:t>Pliego</w:t>
      </w:r>
      <w:proofErr w:type="spellEnd"/>
      <w:r>
        <w:rPr>
          <w:rFonts w:ascii="Cambria" w:hAnsi="Cambria"/>
        </w:rPr>
        <w:t>-Alfaro, and M.A.</w:t>
      </w:r>
    </w:p>
    <w:p w:rsidR="009666F6" w:rsidRDefault="009666F6" w:rsidP="00715A3A">
      <w:pPr>
        <w:ind w:firstLine="720"/>
        <w:rPr>
          <w:rFonts w:ascii="Cambria" w:hAnsi="Cambria"/>
        </w:rPr>
      </w:pPr>
      <w:proofErr w:type="spellStart"/>
      <w:r>
        <w:rPr>
          <w:rFonts w:ascii="Cambria" w:hAnsi="Cambria"/>
        </w:rPr>
        <w:t>Aquesada</w:t>
      </w:r>
      <w:proofErr w:type="spellEnd"/>
      <w:r>
        <w:rPr>
          <w:rFonts w:ascii="Cambria" w:hAnsi="Cambria"/>
        </w:rPr>
        <w:t>.  1999.  A Convenient Protocol for Extraction and Purification of</w:t>
      </w:r>
    </w:p>
    <w:p w:rsidR="004C4FA7" w:rsidRDefault="009666F6" w:rsidP="00715A3A">
      <w:pPr>
        <w:ind w:firstLine="720"/>
        <w:rPr>
          <w:rFonts w:ascii="Cambria" w:hAnsi="Cambria"/>
        </w:rPr>
      </w:pPr>
      <w:proofErr w:type="gramStart"/>
      <w:r>
        <w:rPr>
          <w:rFonts w:ascii="Cambria" w:hAnsi="Cambria"/>
        </w:rPr>
        <w:t xml:space="preserve">DNA from </w:t>
      </w:r>
      <w:proofErr w:type="spellStart"/>
      <w:r>
        <w:rPr>
          <w:rFonts w:ascii="Cambria" w:hAnsi="Cambria"/>
          <w:i/>
        </w:rPr>
        <w:t>Fragaria</w:t>
      </w:r>
      <w:proofErr w:type="spellEnd"/>
      <w:r>
        <w:rPr>
          <w:rFonts w:ascii="Cambria" w:hAnsi="Cambria"/>
        </w:rPr>
        <w:t>.</w:t>
      </w:r>
      <w:proofErr w:type="gramEnd"/>
      <w:r>
        <w:rPr>
          <w:rFonts w:ascii="Cambria" w:hAnsi="Cambria"/>
        </w:rPr>
        <w:t xml:space="preserve">  </w:t>
      </w:r>
      <w:r>
        <w:rPr>
          <w:rFonts w:ascii="Cambria" w:hAnsi="Cambria"/>
          <w:i/>
        </w:rPr>
        <w:t xml:space="preserve">In Vitro Cell Developmental Biology </w:t>
      </w:r>
      <w:r>
        <w:rPr>
          <w:rFonts w:ascii="Cambria" w:hAnsi="Cambria"/>
        </w:rPr>
        <w:t>35: 152-153.</w:t>
      </w:r>
    </w:p>
    <w:p w:rsidR="004C4FA7" w:rsidRDefault="004C4FA7" w:rsidP="004C4FA7">
      <w:pPr>
        <w:rPr>
          <w:rFonts w:ascii="Cambria" w:hAnsi="Cambria"/>
        </w:rPr>
      </w:pPr>
    </w:p>
    <w:p w:rsidR="004C4FA7" w:rsidRDefault="004C4FA7" w:rsidP="004C4FA7">
      <w:pPr>
        <w:rPr>
          <w:rFonts w:ascii="Cambria" w:hAnsi="Cambria"/>
        </w:rPr>
      </w:pPr>
      <w:proofErr w:type="spellStart"/>
      <w:proofErr w:type="gramStart"/>
      <w:r>
        <w:rPr>
          <w:rFonts w:ascii="Cambria" w:hAnsi="Cambria"/>
        </w:rPr>
        <w:t>Pitra</w:t>
      </w:r>
      <w:proofErr w:type="spellEnd"/>
      <w:r>
        <w:rPr>
          <w:rFonts w:ascii="Cambria" w:hAnsi="Cambria"/>
        </w:rPr>
        <w:t>, N.</w:t>
      </w:r>
      <w:proofErr w:type="gramEnd"/>
      <w:r>
        <w:rPr>
          <w:rFonts w:ascii="Cambria" w:hAnsi="Cambria"/>
        </w:rPr>
        <w:t xml:space="preserve">  2008.  SOP-011:  Formaldehyde </w:t>
      </w:r>
      <w:proofErr w:type="spellStart"/>
      <w:r>
        <w:rPr>
          <w:rFonts w:ascii="Cambria" w:hAnsi="Cambria"/>
        </w:rPr>
        <w:t>Agarose</w:t>
      </w:r>
      <w:proofErr w:type="spellEnd"/>
      <w:r>
        <w:rPr>
          <w:rFonts w:ascii="Cambria" w:hAnsi="Cambria"/>
        </w:rPr>
        <w:t xml:space="preserve"> Gel Electrophoresis for RNA.</w:t>
      </w:r>
    </w:p>
    <w:p w:rsidR="00291A7D" w:rsidRDefault="004C4FA7" w:rsidP="004C4FA7">
      <w:pPr>
        <w:rPr>
          <w:rFonts w:ascii="Cambria" w:hAnsi="Cambria"/>
        </w:rPr>
      </w:pPr>
      <w:r>
        <w:rPr>
          <w:rFonts w:ascii="Cambria" w:hAnsi="Cambria"/>
        </w:rPr>
        <w:tab/>
      </w:r>
      <w:proofErr w:type="gramStart"/>
      <w:r>
        <w:rPr>
          <w:rFonts w:ascii="Cambria" w:hAnsi="Cambria"/>
        </w:rPr>
        <w:t>University of Northern Iowa Graduate Program.</w:t>
      </w:r>
      <w:proofErr w:type="gramEnd"/>
    </w:p>
    <w:p w:rsidR="00715A3A" w:rsidRDefault="00715A3A" w:rsidP="00715A3A"/>
    <w:p w:rsidR="00291A7D" w:rsidRDefault="00291A7D" w:rsidP="00715A3A">
      <w:proofErr w:type="spellStart"/>
      <w:r w:rsidRPr="00291A7D">
        <w:t>Raab</w:t>
      </w:r>
      <w:proofErr w:type="spellEnd"/>
      <w:r w:rsidRPr="00291A7D">
        <w:t>, R., J.A. Lopez-</w:t>
      </w:r>
      <w:proofErr w:type="spellStart"/>
      <w:r w:rsidRPr="00291A7D">
        <w:t>Raez</w:t>
      </w:r>
      <w:proofErr w:type="spellEnd"/>
      <w:r w:rsidRPr="00291A7D">
        <w:t xml:space="preserve">, R. Klein, J.L. Caballero, E. </w:t>
      </w:r>
      <w:proofErr w:type="spellStart"/>
      <w:r w:rsidRPr="00291A7D">
        <w:t>Moyano</w:t>
      </w:r>
      <w:proofErr w:type="spellEnd"/>
      <w:r w:rsidRPr="00291A7D">
        <w:t>, W. Schwab, and J</w:t>
      </w:r>
      <w:r>
        <w:t>.</w:t>
      </w:r>
    </w:p>
    <w:p w:rsidR="00715A3A" w:rsidRDefault="00291A7D" w:rsidP="002752B5">
      <w:pPr>
        <w:ind w:left="720"/>
      </w:pPr>
      <w:r w:rsidRPr="00291A7D">
        <w:t xml:space="preserve">Munoz-Blanco.  </w:t>
      </w:r>
      <w:proofErr w:type="spellStart"/>
      <w:r w:rsidRPr="00291A7D">
        <w:rPr>
          <w:i/>
          <w:iCs/>
        </w:rPr>
        <w:t>FaQR</w:t>
      </w:r>
      <w:proofErr w:type="spellEnd"/>
      <w:r w:rsidRPr="00291A7D">
        <w:t>, Required for the Biosynthesis of the Strawberry Flavor Compound 4-Hydroxy-2</w:t>
      </w:r>
      <w:proofErr w:type="gramStart"/>
      <w:r w:rsidRPr="00291A7D">
        <w:t>,5</w:t>
      </w:r>
      <w:proofErr w:type="gramEnd"/>
      <w:r w:rsidRPr="00291A7D">
        <w:t>-Dimethyl-3(2H)-</w:t>
      </w:r>
      <w:proofErr w:type="spellStart"/>
      <w:r w:rsidRPr="00291A7D">
        <w:t>Furanone</w:t>
      </w:r>
      <w:proofErr w:type="spellEnd"/>
      <w:r w:rsidRPr="00291A7D">
        <w:t xml:space="preserve">, Encodes an </w:t>
      </w:r>
      <w:proofErr w:type="spellStart"/>
      <w:r w:rsidRPr="00291A7D">
        <w:t>Enone</w:t>
      </w:r>
      <w:proofErr w:type="spellEnd"/>
      <w:r w:rsidRPr="00291A7D">
        <w:t xml:space="preserve">  </w:t>
      </w:r>
      <w:proofErr w:type="spellStart"/>
      <w:r w:rsidRPr="00291A7D">
        <w:t>Oxidoreductase</w:t>
      </w:r>
      <w:proofErr w:type="spellEnd"/>
      <w:r w:rsidRPr="00291A7D">
        <w:t xml:space="preserve">.   </w:t>
      </w:r>
      <w:r w:rsidRPr="00291A7D">
        <w:rPr>
          <w:i/>
          <w:iCs/>
        </w:rPr>
        <w:t xml:space="preserve">The Plant Cell </w:t>
      </w:r>
      <w:r w:rsidRPr="00291A7D">
        <w:t>18:1023-1037.</w:t>
      </w:r>
    </w:p>
    <w:p w:rsidR="00715A3A" w:rsidRDefault="00715A3A" w:rsidP="00715A3A"/>
    <w:p w:rsidR="00BA752D" w:rsidRDefault="00BA752D" w:rsidP="00715A3A">
      <w:pPr>
        <w:rPr>
          <w:lang w:val="de-DE"/>
        </w:rPr>
      </w:pPr>
    </w:p>
    <w:p w:rsidR="00D92355" w:rsidRDefault="00D92355" w:rsidP="00715A3A">
      <w:r w:rsidRPr="00715A3A">
        <w:rPr>
          <w:lang w:val="de-DE"/>
        </w:rPr>
        <w:t xml:space="preserve">Ulrich, D., D. Kmoes, K. Olbritcht, E. Hoberg.  </w:t>
      </w:r>
      <w:r>
        <w:t>2006.  Diversity of Aroma Patterns in</w:t>
      </w:r>
    </w:p>
    <w:p w:rsidR="00A30C1E" w:rsidRPr="009666F6" w:rsidRDefault="00D92355" w:rsidP="002752B5">
      <w:pPr>
        <w:ind w:left="720"/>
      </w:pPr>
      <w:proofErr w:type="gramStart"/>
      <w:r>
        <w:t xml:space="preserve">Wild and Cultivated </w:t>
      </w:r>
      <w:proofErr w:type="spellStart"/>
      <w:r>
        <w:rPr>
          <w:i/>
        </w:rPr>
        <w:t>Fragaria</w:t>
      </w:r>
      <w:proofErr w:type="spellEnd"/>
      <w:r>
        <w:rPr>
          <w:i/>
        </w:rPr>
        <w:t xml:space="preserve"> </w:t>
      </w:r>
      <w:r>
        <w:t>accessions.</w:t>
      </w:r>
      <w:proofErr w:type="gramEnd"/>
      <w:r>
        <w:t xml:space="preserve">  </w:t>
      </w:r>
      <w:r>
        <w:rPr>
          <w:i/>
        </w:rPr>
        <w:t xml:space="preserve">Genetic Resource Crop Evolution </w:t>
      </w:r>
      <w:r>
        <w:t>54: 1185-1196.</w:t>
      </w:r>
    </w:p>
    <w:sectPr w:rsidR="00A30C1E" w:rsidRPr="009666F6" w:rsidSect="004B63F6">
      <w:footerReference w:type="even" r:id="rId16"/>
      <w:footerReference w:type="default" r:id="rId17"/>
      <w:pgSz w:w="12240" w:h="15840"/>
      <w:pgMar w:top="1440" w:right="1800" w:bottom="1440" w:left="1800"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06C7" w:rsidRDefault="006E06C7" w:rsidP="00620956">
      <w:r>
        <w:separator/>
      </w:r>
    </w:p>
  </w:endnote>
  <w:endnote w:type="continuationSeparator" w:id="0">
    <w:p w:rsidR="006E06C7" w:rsidRDefault="006E06C7" w:rsidP="00620956">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Tahoma">
    <w:panose1 w:val="00000000000000000000"/>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宋体">
    <w:charset w:val="50"/>
    <w:family w:val="auto"/>
    <w:pitch w:val="variable"/>
    <w:sig w:usb0="00000001" w:usb1="00000000" w:usb2="0100040E" w:usb3="00000000" w:csb0="00040000"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06C7" w:rsidRDefault="00EA70E3" w:rsidP="004B63F6">
    <w:pPr>
      <w:pStyle w:val="Footer"/>
      <w:framePr w:wrap="around" w:vAnchor="text" w:hAnchor="margin" w:xAlign="right" w:y="1"/>
      <w:rPr>
        <w:rStyle w:val="PageNumber"/>
      </w:rPr>
    </w:pPr>
    <w:r>
      <w:rPr>
        <w:rStyle w:val="PageNumber"/>
      </w:rPr>
      <w:fldChar w:fldCharType="begin"/>
    </w:r>
    <w:r w:rsidR="006E06C7">
      <w:rPr>
        <w:rStyle w:val="PageNumber"/>
      </w:rPr>
      <w:instrText xml:space="preserve">PAGE  </w:instrText>
    </w:r>
    <w:r>
      <w:rPr>
        <w:rStyle w:val="PageNumber"/>
      </w:rPr>
      <w:fldChar w:fldCharType="end"/>
    </w:r>
  </w:p>
  <w:p w:rsidR="006E06C7" w:rsidRDefault="006E06C7" w:rsidP="004B63F6">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06C7" w:rsidRDefault="00EA70E3" w:rsidP="004B63F6">
    <w:pPr>
      <w:pStyle w:val="Footer"/>
      <w:framePr w:wrap="around" w:vAnchor="text" w:hAnchor="margin" w:xAlign="right" w:y="1"/>
      <w:rPr>
        <w:rStyle w:val="PageNumber"/>
      </w:rPr>
    </w:pPr>
    <w:r>
      <w:rPr>
        <w:rStyle w:val="PageNumber"/>
      </w:rPr>
      <w:fldChar w:fldCharType="begin"/>
    </w:r>
    <w:r w:rsidR="006E06C7">
      <w:rPr>
        <w:rStyle w:val="PageNumber"/>
      </w:rPr>
      <w:instrText xml:space="preserve">PAGE  </w:instrText>
    </w:r>
    <w:r>
      <w:rPr>
        <w:rStyle w:val="PageNumber"/>
      </w:rPr>
      <w:fldChar w:fldCharType="separate"/>
    </w:r>
    <w:r w:rsidR="00F75B83">
      <w:rPr>
        <w:rStyle w:val="PageNumber"/>
        <w:noProof/>
      </w:rPr>
      <w:t>25</w:t>
    </w:r>
    <w:r>
      <w:rPr>
        <w:rStyle w:val="PageNumber"/>
      </w:rPr>
      <w:fldChar w:fldCharType="end"/>
    </w:r>
  </w:p>
  <w:p w:rsidR="006E06C7" w:rsidRDefault="006E06C7" w:rsidP="004B63F6">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06C7" w:rsidRDefault="006E06C7" w:rsidP="00620956">
      <w:r>
        <w:separator/>
      </w:r>
    </w:p>
  </w:footnote>
  <w:footnote w:type="continuationSeparator" w:id="0">
    <w:p w:rsidR="006E06C7" w:rsidRDefault="006E06C7" w:rsidP="00620956">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doNotAutofitConstrainedTables/>
    <w:splitPgBreakAndParaMark/>
    <w:doNotVertAlignCellWithSp/>
    <w:doNotBreakConstrainedForcedTable/>
    <w:useAnsiKerningPairs/>
    <w:cachedColBalance/>
  </w:compat>
  <w:rsids>
    <w:rsidRoot w:val="00A30C1E"/>
    <w:rsid w:val="000048CE"/>
    <w:rsid w:val="00020648"/>
    <w:rsid w:val="00036F1B"/>
    <w:rsid w:val="00037E6D"/>
    <w:rsid w:val="000914CA"/>
    <w:rsid w:val="0009788E"/>
    <w:rsid w:val="000D3347"/>
    <w:rsid w:val="00110FEE"/>
    <w:rsid w:val="00114793"/>
    <w:rsid w:val="00137004"/>
    <w:rsid w:val="001422DB"/>
    <w:rsid w:val="00192139"/>
    <w:rsid w:val="001B5B18"/>
    <w:rsid w:val="001F2D4D"/>
    <w:rsid w:val="00220C72"/>
    <w:rsid w:val="00247D32"/>
    <w:rsid w:val="00255B6A"/>
    <w:rsid w:val="0025692B"/>
    <w:rsid w:val="002747EE"/>
    <w:rsid w:val="002752B5"/>
    <w:rsid w:val="00291A7D"/>
    <w:rsid w:val="00296267"/>
    <w:rsid w:val="002E5ACA"/>
    <w:rsid w:val="003233BC"/>
    <w:rsid w:val="003340C6"/>
    <w:rsid w:val="00373444"/>
    <w:rsid w:val="003800A9"/>
    <w:rsid w:val="003A111C"/>
    <w:rsid w:val="00443ECA"/>
    <w:rsid w:val="00452B1B"/>
    <w:rsid w:val="00476FC7"/>
    <w:rsid w:val="0048298A"/>
    <w:rsid w:val="004B63F6"/>
    <w:rsid w:val="004C4FA7"/>
    <w:rsid w:val="004E5B04"/>
    <w:rsid w:val="004F2679"/>
    <w:rsid w:val="005115F1"/>
    <w:rsid w:val="0052073E"/>
    <w:rsid w:val="00530C16"/>
    <w:rsid w:val="00531F4E"/>
    <w:rsid w:val="00543C1A"/>
    <w:rsid w:val="00562780"/>
    <w:rsid w:val="00563F85"/>
    <w:rsid w:val="00582F51"/>
    <w:rsid w:val="005B5DEE"/>
    <w:rsid w:val="005D4BB3"/>
    <w:rsid w:val="005E71C9"/>
    <w:rsid w:val="00620956"/>
    <w:rsid w:val="00633A87"/>
    <w:rsid w:val="0064333A"/>
    <w:rsid w:val="00682A1D"/>
    <w:rsid w:val="0068394C"/>
    <w:rsid w:val="006E06C7"/>
    <w:rsid w:val="00715A3A"/>
    <w:rsid w:val="00741B5F"/>
    <w:rsid w:val="00746F1F"/>
    <w:rsid w:val="007631AB"/>
    <w:rsid w:val="00774D39"/>
    <w:rsid w:val="0077798B"/>
    <w:rsid w:val="007B3416"/>
    <w:rsid w:val="007D0F98"/>
    <w:rsid w:val="007E7DF4"/>
    <w:rsid w:val="0080074B"/>
    <w:rsid w:val="008509D1"/>
    <w:rsid w:val="00863B4C"/>
    <w:rsid w:val="00873DA9"/>
    <w:rsid w:val="008B3FB1"/>
    <w:rsid w:val="008C5521"/>
    <w:rsid w:val="008E4744"/>
    <w:rsid w:val="00951721"/>
    <w:rsid w:val="00965603"/>
    <w:rsid w:val="009666F6"/>
    <w:rsid w:val="0098396F"/>
    <w:rsid w:val="0099113F"/>
    <w:rsid w:val="00993A84"/>
    <w:rsid w:val="00A02393"/>
    <w:rsid w:val="00A30C1E"/>
    <w:rsid w:val="00A76F49"/>
    <w:rsid w:val="00AC66F8"/>
    <w:rsid w:val="00B0436A"/>
    <w:rsid w:val="00B06466"/>
    <w:rsid w:val="00B4056F"/>
    <w:rsid w:val="00B74F54"/>
    <w:rsid w:val="00B82F0A"/>
    <w:rsid w:val="00BA752D"/>
    <w:rsid w:val="00BB25D6"/>
    <w:rsid w:val="00BE1A23"/>
    <w:rsid w:val="00BE5CAE"/>
    <w:rsid w:val="00C200CD"/>
    <w:rsid w:val="00C44B48"/>
    <w:rsid w:val="00C55C02"/>
    <w:rsid w:val="00C57DE4"/>
    <w:rsid w:val="00C71E65"/>
    <w:rsid w:val="00D618A4"/>
    <w:rsid w:val="00D92355"/>
    <w:rsid w:val="00DA2F49"/>
    <w:rsid w:val="00DD4C02"/>
    <w:rsid w:val="00DE033B"/>
    <w:rsid w:val="00DE1974"/>
    <w:rsid w:val="00E37E75"/>
    <w:rsid w:val="00E50735"/>
    <w:rsid w:val="00E51C7B"/>
    <w:rsid w:val="00EA70E3"/>
    <w:rsid w:val="00EB1756"/>
    <w:rsid w:val="00F4234B"/>
    <w:rsid w:val="00F6139B"/>
    <w:rsid w:val="00F70ACA"/>
    <w:rsid w:val="00F742CC"/>
    <w:rsid w:val="00F75B83"/>
    <w:rsid w:val="00F76EF9"/>
    <w:rsid w:val="00F94BFC"/>
    <w:rsid w:val="00F96635"/>
    <w:rsid w:val="00FC6E6C"/>
  </w:rsids>
  <m:mathPr>
    <m:mathFont m:val="Cambria Math"/>
    <m:brkBin m:val="before"/>
    <m:brkBinSub m:val="--"/>
    <m:smallFrac m:val="off"/>
    <m:dispDef m:val="off"/>
    <m:lMargin m:val="0"/>
    <m:rMargin m:val="0"/>
    <m:defJc m:val="centerGroup"/>
    <m:wrapRight/>
    <m:intLim m:val="subSup"/>
    <m:naryLim m:val="subSup"/>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7FC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037E6D"/>
    <w:rPr>
      <w:color w:val="0000FF" w:themeColor="hyperlink"/>
      <w:u w:val="single"/>
    </w:rPr>
  </w:style>
  <w:style w:type="character" w:styleId="FollowedHyperlink">
    <w:name w:val="FollowedHyperlink"/>
    <w:basedOn w:val="DefaultParagraphFont"/>
    <w:rsid w:val="00037E6D"/>
    <w:rPr>
      <w:color w:val="800080" w:themeColor="followedHyperlink"/>
      <w:u w:val="single"/>
    </w:rPr>
  </w:style>
  <w:style w:type="paragraph" w:styleId="Footer">
    <w:name w:val="footer"/>
    <w:basedOn w:val="Normal"/>
    <w:link w:val="FooterChar"/>
    <w:rsid w:val="004B63F6"/>
    <w:pPr>
      <w:tabs>
        <w:tab w:val="center" w:pos="4320"/>
        <w:tab w:val="right" w:pos="8640"/>
      </w:tabs>
    </w:pPr>
  </w:style>
  <w:style w:type="character" w:customStyle="1" w:styleId="FooterChar">
    <w:name w:val="Footer Char"/>
    <w:basedOn w:val="DefaultParagraphFont"/>
    <w:link w:val="Footer"/>
    <w:rsid w:val="004B63F6"/>
  </w:style>
  <w:style w:type="character" w:styleId="PageNumber">
    <w:name w:val="page number"/>
    <w:basedOn w:val="DefaultParagraphFont"/>
    <w:rsid w:val="004B63F6"/>
  </w:style>
  <w:style w:type="table" w:styleId="TableGrid">
    <w:name w:val="Table Grid"/>
    <w:basedOn w:val="TableNormal"/>
    <w:rsid w:val="00AC66F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rsid w:val="00F742CC"/>
    <w:pPr>
      <w:ind w:left="720"/>
      <w:contextualSpacing/>
    </w:pPr>
  </w:style>
  <w:style w:type="paragraph" w:styleId="BalloonText">
    <w:name w:val="Balloon Text"/>
    <w:basedOn w:val="Normal"/>
    <w:link w:val="BalloonTextChar"/>
    <w:rsid w:val="005D4BB3"/>
    <w:rPr>
      <w:rFonts w:ascii="Tahoma" w:hAnsi="Tahoma" w:cs="Tahoma"/>
      <w:sz w:val="16"/>
      <w:szCs w:val="16"/>
    </w:rPr>
  </w:style>
  <w:style w:type="character" w:customStyle="1" w:styleId="BalloonTextChar">
    <w:name w:val="Balloon Text Char"/>
    <w:basedOn w:val="DefaultParagraphFont"/>
    <w:link w:val="BalloonText"/>
    <w:rsid w:val="005D4BB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6857763">
      <w:bodyDiv w:val="1"/>
      <w:marLeft w:val="0"/>
      <w:marRight w:val="0"/>
      <w:marTop w:val="0"/>
      <w:marBottom w:val="0"/>
      <w:divBdr>
        <w:top w:val="none" w:sz="0" w:space="0" w:color="auto"/>
        <w:left w:val="none" w:sz="0" w:space="0" w:color="auto"/>
        <w:bottom w:val="none" w:sz="0" w:space="0" w:color="auto"/>
        <w:right w:val="none" w:sz="0" w:space="0" w:color="auto"/>
      </w:divBdr>
    </w:div>
    <w:div w:id="225577575">
      <w:bodyDiv w:val="1"/>
      <w:marLeft w:val="0"/>
      <w:marRight w:val="0"/>
      <w:marTop w:val="0"/>
      <w:marBottom w:val="0"/>
      <w:divBdr>
        <w:top w:val="none" w:sz="0" w:space="0" w:color="auto"/>
        <w:left w:val="none" w:sz="0" w:space="0" w:color="auto"/>
        <w:bottom w:val="none" w:sz="0" w:space="0" w:color="auto"/>
        <w:right w:val="none" w:sz="0" w:space="0" w:color="auto"/>
      </w:divBdr>
    </w:div>
    <w:div w:id="404491799">
      <w:bodyDiv w:val="1"/>
      <w:marLeft w:val="0"/>
      <w:marRight w:val="0"/>
      <w:marTop w:val="0"/>
      <w:marBottom w:val="0"/>
      <w:divBdr>
        <w:top w:val="none" w:sz="0" w:space="0" w:color="auto"/>
        <w:left w:val="none" w:sz="0" w:space="0" w:color="auto"/>
        <w:bottom w:val="none" w:sz="0" w:space="0" w:color="auto"/>
        <w:right w:val="none" w:sz="0" w:space="0" w:color="auto"/>
      </w:divBdr>
    </w:div>
    <w:div w:id="842933238">
      <w:bodyDiv w:val="1"/>
      <w:marLeft w:val="0"/>
      <w:marRight w:val="0"/>
      <w:marTop w:val="0"/>
      <w:marBottom w:val="0"/>
      <w:divBdr>
        <w:top w:val="none" w:sz="0" w:space="0" w:color="auto"/>
        <w:left w:val="none" w:sz="0" w:space="0" w:color="auto"/>
        <w:bottom w:val="none" w:sz="0" w:space="0" w:color="auto"/>
        <w:right w:val="none" w:sz="0" w:space="0" w:color="auto"/>
      </w:divBdr>
    </w:div>
    <w:div w:id="889652576">
      <w:bodyDiv w:val="1"/>
      <w:marLeft w:val="0"/>
      <w:marRight w:val="0"/>
      <w:marTop w:val="0"/>
      <w:marBottom w:val="0"/>
      <w:divBdr>
        <w:top w:val="none" w:sz="0" w:space="0" w:color="auto"/>
        <w:left w:val="none" w:sz="0" w:space="0" w:color="auto"/>
        <w:bottom w:val="none" w:sz="0" w:space="0" w:color="auto"/>
        <w:right w:val="none" w:sz="0" w:space="0" w:color="auto"/>
      </w:divBdr>
      <w:divsChild>
        <w:div w:id="1792553343">
          <w:marLeft w:val="547"/>
          <w:marRight w:val="0"/>
          <w:marTop w:val="0"/>
          <w:marBottom w:val="0"/>
          <w:divBdr>
            <w:top w:val="none" w:sz="0" w:space="0" w:color="auto"/>
            <w:left w:val="none" w:sz="0" w:space="0" w:color="auto"/>
            <w:bottom w:val="none" w:sz="0" w:space="0" w:color="auto"/>
            <w:right w:val="none" w:sz="0" w:space="0" w:color="auto"/>
          </w:divBdr>
        </w:div>
        <w:div w:id="1965386026">
          <w:marLeft w:val="547"/>
          <w:marRight w:val="0"/>
          <w:marTop w:val="0"/>
          <w:marBottom w:val="0"/>
          <w:divBdr>
            <w:top w:val="none" w:sz="0" w:space="0" w:color="auto"/>
            <w:left w:val="none" w:sz="0" w:space="0" w:color="auto"/>
            <w:bottom w:val="none" w:sz="0" w:space="0" w:color="auto"/>
            <w:right w:val="none" w:sz="0" w:space="0" w:color="auto"/>
          </w:divBdr>
        </w:div>
        <w:div w:id="427897257">
          <w:marLeft w:val="547"/>
          <w:marRight w:val="0"/>
          <w:marTop w:val="0"/>
          <w:marBottom w:val="0"/>
          <w:divBdr>
            <w:top w:val="none" w:sz="0" w:space="0" w:color="auto"/>
            <w:left w:val="none" w:sz="0" w:space="0" w:color="auto"/>
            <w:bottom w:val="none" w:sz="0" w:space="0" w:color="auto"/>
            <w:right w:val="none" w:sz="0" w:space="0" w:color="auto"/>
          </w:divBdr>
        </w:div>
      </w:divsChild>
    </w:div>
    <w:div w:id="1113671444">
      <w:bodyDiv w:val="1"/>
      <w:marLeft w:val="0"/>
      <w:marRight w:val="0"/>
      <w:marTop w:val="0"/>
      <w:marBottom w:val="0"/>
      <w:divBdr>
        <w:top w:val="none" w:sz="0" w:space="0" w:color="auto"/>
        <w:left w:val="none" w:sz="0" w:space="0" w:color="auto"/>
        <w:bottom w:val="none" w:sz="0" w:space="0" w:color="auto"/>
        <w:right w:val="none" w:sz="0" w:space="0" w:color="auto"/>
      </w:divBdr>
      <w:divsChild>
        <w:div w:id="782774216">
          <w:marLeft w:val="547"/>
          <w:marRight w:val="0"/>
          <w:marTop w:val="0"/>
          <w:marBottom w:val="0"/>
          <w:divBdr>
            <w:top w:val="none" w:sz="0" w:space="0" w:color="auto"/>
            <w:left w:val="none" w:sz="0" w:space="0" w:color="auto"/>
            <w:bottom w:val="none" w:sz="0" w:space="0" w:color="auto"/>
            <w:right w:val="none" w:sz="0" w:space="0" w:color="auto"/>
          </w:divBdr>
        </w:div>
        <w:div w:id="854001766">
          <w:marLeft w:val="547"/>
          <w:marRight w:val="0"/>
          <w:marTop w:val="0"/>
          <w:marBottom w:val="0"/>
          <w:divBdr>
            <w:top w:val="none" w:sz="0" w:space="0" w:color="auto"/>
            <w:left w:val="none" w:sz="0" w:space="0" w:color="auto"/>
            <w:bottom w:val="none" w:sz="0" w:space="0" w:color="auto"/>
            <w:right w:val="none" w:sz="0" w:space="0" w:color="auto"/>
          </w:divBdr>
        </w:div>
      </w:divsChild>
    </w:div>
    <w:div w:id="1528371797">
      <w:bodyDiv w:val="1"/>
      <w:marLeft w:val="0"/>
      <w:marRight w:val="0"/>
      <w:marTop w:val="0"/>
      <w:marBottom w:val="0"/>
      <w:divBdr>
        <w:top w:val="none" w:sz="0" w:space="0" w:color="auto"/>
        <w:left w:val="none" w:sz="0" w:space="0" w:color="auto"/>
        <w:bottom w:val="none" w:sz="0" w:space="0" w:color="auto"/>
        <w:right w:val="none" w:sz="0" w:space="0" w:color="auto"/>
      </w:divBdr>
    </w:div>
    <w:div w:id="2055814544">
      <w:bodyDiv w:val="1"/>
      <w:marLeft w:val="0"/>
      <w:marRight w:val="0"/>
      <w:marTop w:val="0"/>
      <w:marBottom w:val="0"/>
      <w:divBdr>
        <w:top w:val="none" w:sz="0" w:space="0" w:color="auto"/>
        <w:left w:val="none" w:sz="0" w:space="0" w:color="auto"/>
        <w:bottom w:val="none" w:sz="0" w:space="0" w:color="auto"/>
        <w:right w:val="none" w:sz="0" w:space="0" w:color="auto"/>
      </w:divBdr>
      <w:divsChild>
        <w:div w:id="784348826">
          <w:marLeft w:val="547"/>
          <w:marRight w:val="0"/>
          <w:marTop w:val="0"/>
          <w:marBottom w:val="0"/>
          <w:divBdr>
            <w:top w:val="none" w:sz="0" w:space="0" w:color="auto"/>
            <w:left w:val="none" w:sz="0" w:space="0" w:color="auto"/>
            <w:bottom w:val="none" w:sz="0" w:space="0" w:color="auto"/>
            <w:right w:val="none" w:sz="0" w:space="0" w:color="auto"/>
          </w:divBdr>
        </w:div>
        <w:div w:id="990400235">
          <w:marLeft w:val="1166"/>
          <w:marRight w:val="0"/>
          <w:marTop w:val="0"/>
          <w:marBottom w:val="0"/>
          <w:divBdr>
            <w:top w:val="none" w:sz="0" w:space="0" w:color="auto"/>
            <w:left w:val="none" w:sz="0" w:space="0" w:color="auto"/>
            <w:bottom w:val="none" w:sz="0" w:space="0" w:color="auto"/>
            <w:right w:val="none" w:sz="0" w:space="0" w:color="auto"/>
          </w:divBdr>
        </w:div>
        <w:div w:id="779305020">
          <w:marLeft w:val="547"/>
          <w:marRight w:val="0"/>
          <w:marTop w:val="0"/>
          <w:marBottom w:val="0"/>
          <w:divBdr>
            <w:top w:val="none" w:sz="0" w:space="0" w:color="auto"/>
            <w:left w:val="none" w:sz="0" w:space="0" w:color="auto"/>
            <w:bottom w:val="none" w:sz="0" w:space="0" w:color="auto"/>
            <w:right w:val="none" w:sz="0" w:space="0" w:color="auto"/>
          </w:divBdr>
        </w:div>
        <w:div w:id="1708942033">
          <w:marLeft w:val="547"/>
          <w:marRight w:val="0"/>
          <w:marTop w:val="0"/>
          <w:marBottom w:val="0"/>
          <w:divBdr>
            <w:top w:val="none" w:sz="0" w:space="0" w:color="auto"/>
            <w:left w:val="none" w:sz="0" w:space="0" w:color="auto"/>
            <w:bottom w:val="none" w:sz="0" w:space="0" w:color="auto"/>
            <w:right w:val="none" w:sz="0" w:space="0" w:color="auto"/>
          </w:divBdr>
        </w:div>
        <w:div w:id="75060020">
          <w:marLeft w:val="1166"/>
          <w:marRight w:val="0"/>
          <w:marTop w:val="0"/>
          <w:marBottom w:val="0"/>
          <w:divBdr>
            <w:top w:val="none" w:sz="0" w:space="0" w:color="auto"/>
            <w:left w:val="none" w:sz="0" w:space="0" w:color="auto"/>
            <w:bottom w:val="none" w:sz="0" w:space="0" w:color="auto"/>
            <w:right w:val="none" w:sz="0" w:space="0" w:color="auto"/>
          </w:divBdr>
        </w:div>
        <w:div w:id="337730715">
          <w:marLeft w:val="1166"/>
          <w:marRight w:val="0"/>
          <w:marTop w:val="0"/>
          <w:marBottom w:val="0"/>
          <w:divBdr>
            <w:top w:val="none" w:sz="0" w:space="0" w:color="auto"/>
            <w:left w:val="none" w:sz="0" w:space="0" w:color="auto"/>
            <w:bottom w:val="none" w:sz="0" w:space="0" w:color="auto"/>
            <w:right w:val="none" w:sz="0" w:space="0" w:color="auto"/>
          </w:divBdr>
        </w:div>
        <w:div w:id="942801806">
          <w:marLeft w:val="547"/>
          <w:marRight w:val="0"/>
          <w:marTop w:val="0"/>
          <w:marBottom w:val="0"/>
          <w:divBdr>
            <w:top w:val="none" w:sz="0" w:space="0" w:color="auto"/>
            <w:left w:val="none" w:sz="0" w:space="0" w:color="auto"/>
            <w:bottom w:val="none" w:sz="0" w:space="0" w:color="auto"/>
            <w:right w:val="none" w:sz="0" w:space="0" w:color="auto"/>
          </w:divBdr>
        </w:div>
        <w:div w:id="1540510589">
          <w:marLeft w:val="547"/>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image" Target="media/image7.jpeg"/><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tiff"/><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tiff"/><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27</Pages>
  <Words>4598</Words>
  <Characters>26212</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Nicholas</dc:creator>
  <cp:keywords/>
  <cp:lastModifiedBy>broadben</cp:lastModifiedBy>
  <cp:revision>3</cp:revision>
  <cp:lastPrinted>2009-12-03T22:11:00Z</cp:lastPrinted>
  <dcterms:created xsi:type="dcterms:W3CDTF">2009-12-04T17:11:00Z</dcterms:created>
  <dcterms:modified xsi:type="dcterms:W3CDTF">2009-12-08T20:32:00Z</dcterms:modified>
</cp:coreProperties>
</file>