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9B" w:rsidRDefault="000B769B" w:rsidP="00F3119A">
      <w:pPr>
        <w:jc w:val="both"/>
        <w:rPr>
          <w:b/>
          <w:bCs/>
          <w:sz w:val="32"/>
          <w:szCs w:val="32"/>
        </w:rPr>
      </w:pPr>
      <w:r>
        <w:rPr>
          <w:b/>
          <w:bCs/>
          <w:sz w:val="32"/>
          <w:szCs w:val="32"/>
        </w:rPr>
        <w:t>An attempt at creating some nice smelling and good looking E. coli.</w:t>
      </w:r>
    </w:p>
    <w:p w:rsidR="000B769B" w:rsidRDefault="000B769B" w:rsidP="005F75F3">
      <w:pPr>
        <w:pStyle w:val="NoSpacing"/>
      </w:pPr>
      <w:r>
        <w:t>Dustin Ebert</w:t>
      </w:r>
    </w:p>
    <w:p w:rsidR="005F75F3" w:rsidRDefault="005F75F3" w:rsidP="005F75F3">
      <w:pPr>
        <w:pStyle w:val="NoSpacing"/>
      </w:pPr>
      <w:proofErr w:type="spellStart"/>
      <w:r>
        <w:t>Sufia</w:t>
      </w:r>
      <w:proofErr w:type="spellEnd"/>
      <w:r>
        <w:t xml:space="preserve"> </w:t>
      </w:r>
      <w:proofErr w:type="spellStart"/>
      <w:r>
        <w:t>Munim</w:t>
      </w:r>
      <w:proofErr w:type="spellEnd"/>
    </w:p>
    <w:p w:rsidR="005F75F3" w:rsidRPr="000B769B" w:rsidRDefault="005F75F3" w:rsidP="005F75F3">
      <w:proofErr w:type="spellStart"/>
      <w:r>
        <w:t>Sudeep</w:t>
      </w:r>
      <w:proofErr w:type="spellEnd"/>
      <w:r>
        <w:t xml:space="preserve"> </w:t>
      </w:r>
      <w:proofErr w:type="spellStart"/>
      <w:r>
        <w:t>Shakya</w:t>
      </w:r>
      <w:proofErr w:type="spellEnd"/>
    </w:p>
    <w:p w:rsidR="00EF556F" w:rsidRDefault="00EF556F" w:rsidP="005F75F3">
      <w:r>
        <w:t>Abstract</w:t>
      </w:r>
    </w:p>
    <w:p w:rsidR="00E24FFA" w:rsidRPr="00E24FFA" w:rsidRDefault="00E24FFA" w:rsidP="00E24FFA">
      <w:pPr>
        <w:ind w:firstLine="720"/>
        <w:jc w:val="both"/>
        <w:rPr>
          <w:bCs/>
        </w:rPr>
      </w:pPr>
      <w:r>
        <w:rPr>
          <w:bCs/>
        </w:rPr>
        <w:t xml:space="preserve">Based on the </w:t>
      </w:r>
      <w:proofErr w:type="spellStart"/>
      <w:r>
        <w:rPr>
          <w:bCs/>
        </w:rPr>
        <w:t>biobrick</w:t>
      </w:r>
      <w:proofErr w:type="spellEnd"/>
      <w:r>
        <w:rPr>
          <w:bCs/>
        </w:rPr>
        <w:t xml:space="preserve"> component, Wintergreen, GFP, and a promoter, we tried to develop an </w:t>
      </w:r>
      <w:proofErr w:type="spellStart"/>
      <w:r>
        <w:rPr>
          <w:bCs/>
        </w:rPr>
        <w:t>E.coli</w:t>
      </w:r>
      <w:proofErr w:type="spellEnd"/>
      <w:r>
        <w:rPr>
          <w:bCs/>
        </w:rPr>
        <w:t xml:space="preserve"> which smells like wintergreen and turns green under UV light. After a number of attempts we were unable to isolate the parts, so we decided to work with RFP-Promoter reporter gene provided to us by Dr. </w:t>
      </w:r>
      <w:proofErr w:type="spellStart"/>
      <w:r>
        <w:rPr>
          <w:bCs/>
        </w:rPr>
        <w:t>Schwendiek</w:t>
      </w:r>
      <w:proofErr w:type="spellEnd"/>
      <w:r>
        <w:rPr>
          <w:bCs/>
        </w:rPr>
        <w:t xml:space="preserve"> to get some substantial results and end our experiment on a good note. Later we tried to repress the </w:t>
      </w:r>
      <w:proofErr w:type="spellStart"/>
      <w:r>
        <w:rPr>
          <w:bCs/>
        </w:rPr>
        <w:t>the</w:t>
      </w:r>
      <w:proofErr w:type="spellEnd"/>
      <w:r>
        <w:rPr>
          <w:bCs/>
        </w:rPr>
        <w:t xml:space="preserve"> promoter with different glucose and IPTG concentration which worked too.</w:t>
      </w:r>
    </w:p>
    <w:p w:rsidR="00BE0CAF" w:rsidRPr="00BE0CAF" w:rsidRDefault="00BE0CAF" w:rsidP="00F3119A">
      <w:pPr>
        <w:jc w:val="both"/>
        <w:rPr>
          <w:b/>
          <w:bCs/>
          <w:u w:val="single"/>
        </w:rPr>
      </w:pPr>
      <w:r>
        <w:rPr>
          <w:b/>
          <w:bCs/>
          <w:u w:val="single"/>
        </w:rPr>
        <w:t>Introduction</w:t>
      </w:r>
    </w:p>
    <w:p w:rsidR="00F3119A" w:rsidRDefault="00F3119A" w:rsidP="00BD365D">
      <w:pPr>
        <w:ind w:firstLine="720"/>
        <w:jc w:val="both"/>
      </w:pPr>
      <w:proofErr w:type="spellStart"/>
      <w:r w:rsidRPr="00721C42">
        <w:rPr>
          <w:bCs/>
        </w:rPr>
        <w:t>BioBrick</w:t>
      </w:r>
      <w:proofErr w:type="spellEnd"/>
      <w:r>
        <w:t xml:space="preserve"> standard biological parts are </w:t>
      </w:r>
      <w:r w:rsidRPr="00721C42">
        <w:t>DNA</w:t>
      </w:r>
      <w:r>
        <w:t xml:space="preserve"> sequences of defined structure and function. </w:t>
      </w:r>
      <w:r w:rsidR="00BD365D">
        <w:t xml:space="preserve"> </w:t>
      </w:r>
      <w:r>
        <w:t xml:space="preserve">They share a common interface and are designed to be composed and incorporated into living cells such as </w:t>
      </w:r>
      <w:r w:rsidRPr="00721C42">
        <w:rPr>
          <w:i/>
          <w:iCs/>
        </w:rPr>
        <w:t>E. coli</w:t>
      </w:r>
      <w:r>
        <w:t xml:space="preserve"> to co</w:t>
      </w:r>
      <w:r w:rsidR="00BD365D">
        <w:t xml:space="preserve">nstruct new biological systems.  The physical registry of </w:t>
      </w:r>
      <w:proofErr w:type="spellStart"/>
      <w:r w:rsidR="00BD365D">
        <w:t>BioBrick</w:t>
      </w:r>
      <w:proofErr w:type="spellEnd"/>
      <w:r w:rsidR="00BD365D">
        <w:t xml:space="preserve"> parts which contain the actual DNA use plasmid vectors as carriers of these parts.  The common usage intended for these is to cut</w:t>
      </w:r>
      <w:r w:rsidR="004843CE">
        <w:t xml:space="preserve"> the</w:t>
      </w:r>
      <w:r w:rsidR="00BD365D">
        <w:t xml:space="preserve"> part out of its vector</w:t>
      </w:r>
      <w:r w:rsidR="004843CE">
        <w:t xml:space="preserve"> and insert it before or after another part or “device” (string of parts) in another vector.  To facilitate easy digestion and ligation of parts across the registry, a standard set of restriction sites flank the part and are integral to the plasmids.  These are called the prefix, containing </w:t>
      </w:r>
      <w:proofErr w:type="spellStart"/>
      <w:r w:rsidR="004843CE">
        <w:t>EcoRI</w:t>
      </w:r>
      <w:proofErr w:type="spellEnd"/>
      <w:r w:rsidR="004843CE">
        <w:t xml:space="preserve"> and </w:t>
      </w:r>
      <w:proofErr w:type="spellStart"/>
      <w:r w:rsidR="004843CE">
        <w:t>XbaI</w:t>
      </w:r>
      <w:proofErr w:type="spellEnd"/>
      <w:r w:rsidR="004843CE">
        <w:t xml:space="preserve">, and the suffix, containing </w:t>
      </w:r>
      <w:proofErr w:type="spellStart"/>
      <w:r w:rsidR="004843CE">
        <w:t>SpeI</w:t>
      </w:r>
      <w:proofErr w:type="spellEnd"/>
      <w:r w:rsidR="004843CE">
        <w:t xml:space="preserve"> and </w:t>
      </w:r>
      <w:proofErr w:type="spellStart"/>
      <w:r w:rsidR="004843CE">
        <w:t>PstI</w:t>
      </w:r>
      <w:proofErr w:type="spellEnd"/>
      <w:r w:rsidR="004843CE">
        <w:t xml:space="preserve"> as shown below:</w:t>
      </w:r>
    </w:p>
    <w:p w:rsidR="00F3119A" w:rsidRDefault="00F3119A" w:rsidP="00F3119A">
      <w:pPr>
        <w:jc w:val="center"/>
      </w:pPr>
      <w:r>
        <w:rPr>
          <w:noProof/>
        </w:rPr>
        <w:drawing>
          <wp:inline distT="0" distB="0" distL="0" distR="0">
            <wp:extent cx="3686175" cy="7239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686175" cy="723900"/>
                    </a:xfrm>
                    <a:prstGeom prst="rect">
                      <a:avLst/>
                    </a:prstGeom>
                    <a:noFill/>
                    <a:ln w="9525">
                      <a:noFill/>
                      <a:miter lim="800000"/>
                      <a:headEnd/>
                      <a:tailEnd/>
                    </a:ln>
                  </pic:spPr>
                </pic:pic>
              </a:graphicData>
            </a:graphic>
          </wp:inline>
        </w:drawing>
      </w:r>
    </w:p>
    <w:p w:rsidR="004843CE" w:rsidRDefault="004843CE" w:rsidP="00F3119A">
      <w:pPr>
        <w:jc w:val="center"/>
      </w:pPr>
      <w:r>
        <w:rPr>
          <w:b/>
        </w:rPr>
        <w:t>Figure 1:</w:t>
      </w:r>
      <w:r>
        <w:t xml:space="preserve"> </w:t>
      </w:r>
      <w:proofErr w:type="spellStart"/>
      <w:r>
        <w:t>BioBrick</w:t>
      </w:r>
      <w:proofErr w:type="spellEnd"/>
      <w:r>
        <w:t xml:space="preserve"> prefix and suffix</w:t>
      </w:r>
      <w:r w:rsidR="00A54042">
        <w:t>.</w:t>
      </w:r>
    </w:p>
    <w:p w:rsidR="00F3119A" w:rsidRDefault="004843CE" w:rsidP="004843CE">
      <w:r>
        <w:tab/>
        <w:t>We</w:t>
      </w:r>
      <w:r w:rsidR="00A808FD">
        <w:t xml:space="preserve"> had originally</w:t>
      </w:r>
      <w:r>
        <w:t xml:space="preserve"> set out to cons</w:t>
      </w:r>
      <w:r w:rsidR="00AD7518">
        <w:t>truct a device consisting of</w:t>
      </w:r>
      <w:r>
        <w:t xml:space="preserve"> three parts.  The first codes for an enzyme called</w:t>
      </w:r>
      <w:r w:rsidR="00F3119A">
        <w:t xml:space="preserve"> SAM benzoic acid/salicylic acid carboxyl </w:t>
      </w:r>
      <w:proofErr w:type="spellStart"/>
      <w:r w:rsidR="00F3119A">
        <w:t>methyltransferase</w:t>
      </w:r>
      <w:proofErr w:type="spellEnd"/>
      <w:r w:rsidR="00F3119A">
        <w:t xml:space="preserve"> I derived from </w:t>
      </w:r>
      <w:r w:rsidR="00F3119A" w:rsidRPr="00721C42">
        <w:rPr>
          <w:i/>
          <w:iCs/>
        </w:rPr>
        <w:t>BSMT1</w:t>
      </w:r>
      <w:r w:rsidR="00F3119A">
        <w:t xml:space="preserve"> from </w:t>
      </w:r>
      <w:r w:rsidR="00F3119A" w:rsidRPr="00721C42">
        <w:rPr>
          <w:i/>
          <w:iCs/>
        </w:rPr>
        <w:t xml:space="preserve">Petunia x </w:t>
      </w:r>
      <w:proofErr w:type="spellStart"/>
      <w:r w:rsidR="00F3119A" w:rsidRPr="00721C42">
        <w:rPr>
          <w:i/>
          <w:iCs/>
        </w:rPr>
        <w:t>hybrida</w:t>
      </w:r>
      <w:proofErr w:type="spellEnd"/>
      <w:r w:rsidR="00F3119A">
        <w:t xml:space="preserve">. </w:t>
      </w:r>
      <w:r w:rsidR="00305F71">
        <w:t xml:space="preserve"> </w:t>
      </w:r>
      <w:r w:rsidR="00F3119A">
        <w:t xml:space="preserve">BSMT1 </w:t>
      </w:r>
      <w:r w:rsidR="00305F71">
        <w:t>converts</w:t>
      </w:r>
      <w:r w:rsidR="00F3119A">
        <w:t xml:space="preserve"> benzoic acid to methyl benzoate and salicylic acid to methyl </w:t>
      </w:r>
      <w:proofErr w:type="spellStart"/>
      <w:r w:rsidR="00F3119A">
        <w:t>salicylate</w:t>
      </w:r>
      <w:proofErr w:type="spellEnd"/>
      <w:r w:rsidR="00F3119A">
        <w:t xml:space="preserve"> (fig 1). Methyl benzoate has a floral smell and methyl </w:t>
      </w:r>
      <w:proofErr w:type="spellStart"/>
      <w:r w:rsidR="00F3119A">
        <w:t>salicylate</w:t>
      </w:r>
      <w:proofErr w:type="spellEnd"/>
      <w:r w:rsidR="00F3119A">
        <w:t xml:space="preserve"> has a wintergreen smell.   </w:t>
      </w:r>
      <w:r w:rsidR="00305F71">
        <w:t>We</w:t>
      </w:r>
      <w:r w:rsidR="00A808FD">
        <w:t xml:space="preserve"> we</w:t>
      </w:r>
      <w:r w:rsidR="00305F71">
        <w:t>re going to be a little specific, though, and only invoke the wintergreen smell.  Thus, we’ll refer to this part as the wintergreen gene or WG.</w:t>
      </w:r>
    </w:p>
    <w:p w:rsidR="00A54042" w:rsidRDefault="00A54042" w:rsidP="00A54042">
      <w:pPr>
        <w:jc w:val="center"/>
      </w:pPr>
      <w:r>
        <w:rPr>
          <w:noProof/>
        </w:rPr>
        <w:lastRenderedPageBreak/>
        <w:drawing>
          <wp:inline distT="0" distB="0" distL="0" distR="0">
            <wp:extent cx="4838700" cy="1323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38700" cy="1323975"/>
                    </a:xfrm>
                    <a:prstGeom prst="rect">
                      <a:avLst/>
                    </a:prstGeom>
                    <a:noFill/>
                    <a:ln w="9525">
                      <a:noFill/>
                      <a:miter lim="800000"/>
                      <a:headEnd/>
                      <a:tailEnd/>
                    </a:ln>
                  </pic:spPr>
                </pic:pic>
              </a:graphicData>
            </a:graphic>
          </wp:inline>
        </w:drawing>
      </w:r>
    </w:p>
    <w:p w:rsidR="00A54042" w:rsidRPr="00A54042" w:rsidRDefault="00A54042" w:rsidP="00A54042">
      <w:pPr>
        <w:jc w:val="center"/>
      </w:pPr>
      <w:r>
        <w:rPr>
          <w:b/>
        </w:rPr>
        <w:t>Figure 2:</w:t>
      </w:r>
      <w:r>
        <w:t xml:space="preserve"> Conversion of salicylic acid to produce a wintergreen odor.</w:t>
      </w:r>
    </w:p>
    <w:p w:rsidR="00F3119A" w:rsidRDefault="00F618D4" w:rsidP="00F618D4">
      <w:pPr>
        <w:ind w:firstLine="720"/>
      </w:pPr>
      <w:r>
        <w:t>Within the registry, this part is</w:t>
      </w:r>
      <w:r w:rsidR="00F3119A">
        <w:t xml:space="preserve"> pres</w:t>
      </w:r>
      <w:r>
        <w:t xml:space="preserve">ent in the plasmid pSB1A3 which is </w:t>
      </w:r>
      <w:proofErr w:type="spellStart"/>
      <w:r>
        <w:t>a</w:t>
      </w:r>
      <w:r w:rsidR="00F3119A">
        <w:t>mpicillin</w:t>
      </w:r>
      <w:proofErr w:type="spellEnd"/>
      <w:r w:rsidR="00F3119A">
        <w:t xml:space="preserve"> resistant.</w:t>
      </w:r>
      <w:r>
        <w:t xml:space="preserve">  </w:t>
      </w:r>
      <w:r w:rsidR="007D326F">
        <w:t>It is 2157</w:t>
      </w:r>
      <w:r w:rsidR="00F3119A">
        <w:t xml:space="preserve">bp long and has </w:t>
      </w:r>
      <w:r>
        <w:t xml:space="preserve">the standard </w:t>
      </w:r>
      <w:proofErr w:type="spellStart"/>
      <w:r>
        <w:t>BioBrick</w:t>
      </w:r>
      <w:proofErr w:type="spellEnd"/>
      <w:r>
        <w:t xml:space="preserve"> prefix and suffix.</w:t>
      </w:r>
      <w:r w:rsidR="007D326F">
        <w:t xml:space="preserve">  The WG part is 1074bp and when inserted into pSB1A3 is part of a 3231bp molecule.</w:t>
      </w:r>
    </w:p>
    <w:p w:rsidR="00E24FFA" w:rsidRPr="001C03D0" w:rsidRDefault="00E24FFA" w:rsidP="00E24FFA">
      <w:pPr>
        <w:ind w:firstLine="720"/>
        <w:rPr>
          <w:bCs/>
        </w:rPr>
      </w:pPr>
      <w:r>
        <w:t>Our second part codes for Green</w:t>
      </w:r>
      <w:r w:rsidRPr="00AA3718">
        <w:rPr>
          <w:bCs/>
        </w:rPr>
        <w:t xml:space="preserve"> fluorescent protein</w:t>
      </w:r>
      <w:r>
        <w:t xml:space="preserve"> (GFP) and is available in the </w:t>
      </w:r>
      <w:proofErr w:type="spellStart"/>
      <w:r>
        <w:t>BioBrick</w:t>
      </w:r>
      <w:proofErr w:type="spellEnd"/>
      <w:r>
        <w:t xml:space="preserve"> Registry as </w:t>
      </w:r>
      <w:r w:rsidRPr="00AA3718">
        <w:t xml:space="preserve">Part </w:t>
      </w:r>
      <w:r w:rsidRPr="00AA3718">
        <w:rPr>
          <w:bCs/>
        </w:rPr>
        <w:t>BBa_E0040</w:t>
      </w:r>
      <w:r>
        <w:rPr>
          <w:bCs/>
        </w:rPr>
        <w:t xml:space="preserve">. This </w:t>
      </w:r>
      <w:proofErr w:type="spellStart"/>
      <w:r>
        <w:rPr>
          <w:bCs/>
        </w:rPr>
        <w:t>biobrick</w:t>
      </w:r>
      <w:proofErr w:type="spellEnd"/>
      <w:r>
        <w:rPr>
          <w:bCs/>
        </w:rPr>
        <w:t xml:space="preserve"> part is d</w:t>
      </w:r>
      <w:r w:rsidRPr="00721C42">
        <w:rPr>
          <w:bCs/>
        </w:rPr>
        <w:t xml:space="preserve">erived from jellyfish </w:t>
      </w:r>
      <w:proofErr w:type="spellStart"/>
      <w:r w:rsidRPr="00721C42">
        <w:rPr>
          <w:bCs/>
        </w:rPr>
        <w:t>Aequeora</w:t>
      </w:r>
      <w:proofErr w:type="spellEnd"/>
      <w:r w:rsidRPr="00721C42">
        <w:rPr>
          <w:bCs/>
        </w:rPr>
        <w:t xml:space="preserve"> </w:t>
      </w:r>
      <w:proofErr w:type="spellStart"/>
      <w:r w:rsidRPr="00721C42">
        <w:rPr>
          <w:bCs/>
        </w:rPr>
        <w:t>victoria</w:t>
      </w:r>
      <w:proofErr w:type="spellEnd"/>
      <w:r w:rsidRPr="00721C42">
        <w:rPr>
          <w:bCs/>
        </w:rPr>
        <w:t xml:space="preserve"> wild-type GFP</w:t>
      </w:r>
      <w:r>
        <w:rPr>
          <w:bCs/>
        </w:rPr>
        <w:t xml:space="preserve">. It is 720 </w:t>
      </w:r>
      <w:proofErr w:type="spellStart"/>
      <w:r>
        <w:rPr>
          <w:bCs/>
        </w:rPr>
        <w:t>bp</w:t>
      </w:r>
      <w:proofErr w:type="spellEnd"/>
      <w:r>
        <w:rPr>
          <w:bCs/>
        </w:rPr>
        <w:t xml:space="preserve"> long. It was to be used in our project as a reporter gene to turn E. coli green indicating the expression of Wintergreen gene. The e</w:t>
      </w:r>
      <w:r>
        <w:t>xcitation and emission data for this part is 501nm and 511nm respectively.</w:t>
      </w:r>
      <w:r w:rsidRPr="001C03D0">
        <w:t xml:space="preserve"> </w:t>
      </w:r>
      <w:r>
        <w:t>I</w:t>
      </w:r>
      <w:r>
        <w:rPr>
          <w:bCs/>
        </w:rPr>
        <w:t xml:space="preserve">t has an initial plasmid pSB1A2 with </w:t>
      </w:r>
      <w:proofErr w:type="spellStart"/>
      <w:r>
        <w:rPr>
          <w:bCs/>
        </w:rPr>
        <w:t>Ampicillin</w:t>
      </w:r>
      <w:proofErr w:type="spellEnd"/>
      <w:r>
        <w:rPr>
          <w:bCs/>
        </w:rPr>
        <w:t xml:space="preserve"> resistance. </w:t>
      </w:r>
      <w:r>
        <w:t xml:space="preserve">Like pSB1A3, pSB1A2 is also a high copy number (100-300 per cell) plasmid. It is 2079 </w:t>
      </w:r>
      <w:proofErr w:type="spellStart"/>
      <w:r>
        <w:t>bp</w:t>
      </w:r>
      <w:proofErr w:type="spellEnd"/>
      <w:r>
        <w:t xml:space="preserve"> long and has pUC19-derived pMB1 as replication origin. </w:t>
      </w:r>
    </w:p>
    <w:p w:rsidR="00E24FFA" w:rsidRDefault="00E24FFA" w:rsidP="00E24FFA">
      <w:pPr>
        <w:ind w:firstLine="720"/>
        <w:rPr>
          <w:rFonts w:ascii="Times New Roman" w:eastAsia="Times New Roman" w:hAnsi="Times New Roman" w:cs="Times New Roman"/>
          <w:sz w:val="24"/>
          <w:szCs w:val="24"/>
        </w:rPr>
      </w:pPr>
      <w:r>
        <w:rPr>
          <w:rFonts w:eastAsia="Times New Roman" w:cs="Times New Roman"/>
        </w:rPr>
        <w:t xml:space="preserve">Our third </w:t>
      </w:r>
      <w:proofErr w:type="spellStart"/>
      <w:r>
        <w:rPr>
          <w:rFonts w:eastAsia="Times New Roman" w:cs="Times New Roman"/>
        </w:rPr>
        <w:t>Biobrick</w:t>
      </w:r>
      <w:proofErr w:type="spellEnd"/>
      <w:r>
        <w:rPr>
          <w:rFonts w:eastAsia="Times New Roman" w:cs="Times New Roman"/>
        </w:rPr>
        <w:t xml:space="preserve"> part, </w:t>
      </w:r>
      <w:proofErr w:type="spellStart"/>
      <w:r w:rsidRPr="000C0029">
        <w:rPr>
          <w:rFonts w:eastAsia="Times New Roman" w:cs="Times New Roman"/>
        </w:rPr>
        <w:t>pBad</w:t>
      </w:r>
      <w:proofErr w:type="spellEnd"/>
      <w:r w:rsidRPr="000C0029">
        <w:rPr>
          <w:rFonts w:eastAsia="Times New Roman" w:cs="Times New Roman"/>
        </w:rPr>
        <w:t xml:space="preserve"> is an </w:t>
      </w:r>
      <w:r w:rsidRPr="000C0029">
        <w:rPr>
          <w:rFonts w:eastAsia="Times New Roman" w:cs="Times New Roman"/>
          <w:i/>
          <w:iCs/>
        </w:rPr>
        <w:t>E. coli</w:t>
      </w:r>
      <w:r w:rsidRPr="000C0029">
        <w:rPr>
          <w:rFonts w:eastAsia="Times New Roman" w:cs="Times New Roman"/>
        </w:rPr>
        <w:t xml:space="preserve"> promoter that is induced by L-</w:t>
      </w:r>
      <w:proofErr w:type="spellStart"/>
      <w:r w:rsidRPr="000C0029">
        <w:rPr>
          <w:rFonts w:eastAsia="Times New Roman" w:cs="Times New Roman"/>
        </w:rPr>
        <w:t>arabinose</w:t>
      </w:r>
      <w:proofErr w:type="spellEnd"/>
      <w:r w:rsidRPr="000C0029">
        <w:rPr>
          <w:rFonts w:eastAsia="Times New Roman" w:cs="Times New Roman"/>
        </w:rPr>
        <w:t xml:space="preserve"> and repressed by </w:t>
      </w:r>
      <w:proofErr w:type="spellStart"/>
      <w:r w:rsidRPr="000C0029">
        <w:rPr>
          <w:rFonts w:eastAsia="Times New Roman" w:cs="Times New Roman"/>
        </w:rPr>
        <w:t>AraC</w:t>
      </w:r>
      <w:proofErr w:type="spellEnd"/>
      <w:r w:rsidRPr="000C0029">
        <w:rPr>
          <w:rFonts w:eastAsia="Times New Roman" w:cs="Times New Roman"/>
        </w:rPr>
        <w:t>. It is contained in</w:t>
      </w:r>
      <w:r>
        <w:rPr>
          <w:rFonts w:eastAsia="Times New Roman" w:cs="Times New Roman"/>
        </w:rPr>
        <w:t xml:space="preserve"> a</w:t>
      </w:r>
      <w:r w:rsidRPr="000C0029">
        <w:rPr>
          <w:rFonts w:eastAsia="Times New Roman" w:cs="Times New Roman"/>
        </w:rPr>
        <w:t xml:space="preserve"> </w:t>
      </w:r>
      <w:r w:rsidRPr="000C0029">
        <w:t xml:space="preserve">pSB2K3 </w:t>
      </w:r>
      <w:r>
        <w:t xml:space="preserve">vector which </w:t>
      </w:r>
      <w:r w:rsidRPr="000C0029">
        <w:t xml:space="preserve">is a variable copy number plasmid carrying </w:t>
      </w:r>
      <w:proofErr w:type="spellStart"/>
      <w:r w:rsidRPr="000C0029">
        <w:t>kanamycin</w:t>
      </w:r>
      <w:proofErr w:type="spellEnd"/>
      <w:r w:rsidRPr="000C0029">
        <w:t xml:space="preserve"> resistance</w:t>
      </w:r>
      <w:r>
        <w:t xml:space="preserve">. The length of the </w:t>
      </w:r>
      <w:proofErr w:type="spellStart"/>
      <w:r>
        <w:t>promotor</w:t>
      </w:r>
      <w:proofErr w:type="spellEnd"/>
      <w:r>
        <w:t xml:space="preserve"> part is 1210 </w:t>
      </w:r>
      <w:proofErr w:type="spellStart"/>
      <w:r>
        <w:t>bp</w:t>
      </w:r>
      <w:proofErr w:type="spellEnd"/>
      <w:r>
        <w:t xml:space="preserve"> and the plasmid is 4425 </w:t>
      </w:r>
      <w:proofErr w:type="spellStart"/>
      <w:r>
        <w:t>bp</w:t>
      </w:r>
      <w:proofErr w:type="spellEnd"/>
      <w:r>
        <w:t xml:space="preserve"> long.  Like most all </w:t>
      </w:r>
      <w:proofErr w:type="spellStart"/>
      <w:r>
        <w:t>BioBrick</w:t>
      </w:r>
      <w:proofErr w:type="spellEnd"/>
      <w:r>
        <w:t xml:space="preserve"> vectors, it has the standard prefix and suffix restriction sites flanking the part.</w:t>
      </w:r>
    </w:p>
    <w:p w:rsidR="00E24FFA" w:rsidRDefault="00E24FFA" w:rsidP="00E24FFA">
      <w:r>
        <w:t xml:space="preserve">             At this point, we should mention about RFP. During the first couple of weeks of our project we found out that GFP is not working. So Dr. </w:t>
      </w:r>
      <w:proofErr w:type="spellStart"/>
      <w:r>
        <w:t>Schwekendiek</w:t>
      </w:r>
      <w:proofErr w:type="spellEnd"/>
      <w:r>
        <w:t xml:space="preserve"> provides us with RFP liquid cultures. It is available in </w:t>
      </w:r>
      <w:proofErr w:type="spellStart"/>
      <w:r>
        <w:t>Biobrick</w:t>
      </w:r>
      <w:proofErr w:type="spellEnd"/>
      <w:r>
        <w:t xml:space="preserve"> Registry as </w:t>
      </w:r>
      <w:r w:rsidRPr="00240338">
        <w:t xml:space="preserve">Part: </w:t>
      </w:r>
      <w:proofErr w:type="spellStart"/>
      <w:r w:rsidRPr="00240338">
        <w:t>Bba</w:t>
      </w:r>
      <w:proofErr w:type="spellEnd"/>
      <w:r w:rsidRPr="00240338">
        <w:t xml:space="preserve"> E1010</w:t>
      </w:r>
      <w:r>
        <w:t>. It</w:t>
      </w:r>
      <w:r>
        <w:rPr>
          <w:bCs/>
        </w:rPr>
        <w:t xml:space="preserve"> is a highly</w:t>
      </w:r>
      <w:r w:rsidRPr="00F96E92">
        <w:rPr>
          <w:bCs/>
        </w:rPr>
        <w:t xml:space="preserve"> engineered mutant of red fluorescent protein from </w:t>
      </w:r>
      <w:proofErr w:type="spellStart"/>
      <w:r w:rsidRPr="00F96E92">
        <w:rPr>
          <w:bCs/>
        </w:rPr>
        <w:t>Discosoma</w:t>
      </w:r>
      <w:proofErr w:type="spellEnd"/>
      <w:r w:rsidRPr="00F96E92">
        <w:rPr>
          <w:bCs/>
        </w:rPr>
        <w:t xml:space="preserve"> </w:t>
      </w:r>
      <w:proofErr w:type="spellStart"/>
      <w:r w:rsidRPr="00F96E92">
        <w:rPr>
          <w:bCs/>
        </w:rPr>
        <w:t>striata</w:t>
      </w:r>
      <w:proofErr w:type="spellEnd"/>
      <w:r w:rsidRPr="00F96E92">
        <w:rPr>
          <w:bCs/>
        </w:rPr>
        <w:t xml:space="preserve"> (coral)</w:t>
      </w:r>
      <w:r>
        <w:rPr>
          <w:bCs/>
        </w:rPr>
        <w:t xml:space="preserve">. It is 681 </w:t>
      </w:r>
      <w:proofErr w:type="spellStart"/>
      <w:r>
        <w:rPr>
          <w:bCs/>
        </w:rPr>
        <w:t>bp</w:t>
      </w:r>
      <w:proofErr w:type="spellEnd"/>
      <w:r>
        <w:rPr>
          <w:bCs/>
        </w:rPr>
        <w:t xml:space="preserve"> long. T</w:t>
      </w:r>
      <w:r>
        <w:t xml:space="preserve">he sources of RFP were J61002 and J621003. J61006 is 2948 </w:t>
      </w:r>
      <w:proofErr w:type="spellStart"/>
      <w:r>
        <w:t>bp</w:t>
      </w:r>
      <w:proofErr w:type="spellEnd"/>
      <w:r>
        <w:t xml:space="preserve"> long and J62003 is 2298 </w:t>
      </w:r>
      <w:proofErr w:type="spellStart"/>
      <w:r>
        <w:t>bp</w:t>
      </w:r>
      <w:proofErr w:type="spellEnd"/>
      <w:r>
        <w:t xml:space="preserve"> long. The emission and excitation data for this part is 583 nm and 558 nm respectively.</w:t>
      </w:r>
    </w:p>
    <w:p w:rsidR="00F3119A" w:rsidRDefault="00F3119A" w:rsidP="00F3119A">
      <w:pPr>
        <w:spacing w:before="100" w:beforeAutospacing="1" w:after="100" w:afterAutospacing="1" w:line="240" w:lineRule="auto"/>
        <w:rPr>
          <w:bCs/>
        </w:rPr>
      </w:pPr>
      <w:r w:rsidRPr="002D2680">
        <w:rPr>
          <w:b/>
          <w:bCs/>
          <w:u w:val="single"/>
        </w:rPr>
        <w:t>Materials and Methods</w:t>
      </w:r>
    </w:p>
    <w:p w:rsidR="00F3119A" w:rsidRPr="00F3119A" w:rsidRDefault="00F3119A" w:rsidP="00F3119A">
      <w:pPr>
        <w:spacing w:before="100" w:beforeAutospacing="1" w:after="100" w:afterAutospacing="1" w:line="240" w:lineRule="auto"/>
        <w:rPr>
          <w:bCs/>
          <w:i/>
        </w:rPr>
      </w:pPr>
      <w:proofErr w:type="spellStart"/>
      <w:r w:rsidRPr="00F3119A">
        <w:rPr>
          <w:bCs/>
          <w:i/>
        </w:rPr>
        <w:t>BioBrick</w:t>
      </w:r>
      <w:proofErr w:type="spellEnd"/>
      <w:r w:rsidRPr="00F3119A">
        <w:rPr>
          <w:bCs/>
          <w:i/>
        </w:rPr>
        <w:t xml:space="preserve"> extraction</w:t>
      </w:r>
    </w:p>
    <w:p w:rsidR="00F3119A" w:rsidRDefault="00F3119A" w:rsidP="00F3119A">
      <w:pPr>
        <w:spacing w:before="100" w:beforeAutospacing="1" w:after="100" w:afterAutospacing="1" w:line="240" w:lineRule="auto"/>
        <w:ind w:firstLine="720"/>
        <w:rPr>
          <w:bCs/>
        </w:rPr>
      </w:pPr>
      <w:r>
        <w:rPr>
          <w:bCs/>
        </w:rPr>
        <w:t xml:space="preserve">Each </w:t>
      </w:r>
      <w:proofErr w:type="spellStart"/>
      <w:r>
        <w:rPr>
          <w:bCs/>
        </w:rPr>
        <w:t>Biobrick</w:t>
      </w:r>
      <w:proofErr w:type="spellEnd"/>
      <w:r>
        <w:rPr>
          <w:bCs/>
        </w:rPr>
        <w:t xml:space="preserve"> library comes with its own respective protocol for the extraction of the parts or plasmid.  For parts from the ’08 registry we punched out different </w:t>
      </w:r>
      <w:proofErr w:type="spellStart"/>
      <w:r>
        <w:rPr>
          <w:bCs/>
        </w:rPr>
        <w:t>BioBricks</w:t>
      </w:r>
      <w:proofErr w:type="spellEnd"/>
      <w:r>
        <w:rPr>
          <w:bCs/>
        </w:rPr>
        <w:t xml:space="preserve"> from the source paper binder. TE was added to the punched part in a separate tube so that it was completely soaked.  This solution contained the DNA.  For ‘09 we added TE buffer to the necessary wells to suspend the dried DNA inside.  All the above protocols were used according to the registry protocols. </w:t>
      </w:r>
    </w:p>
    <w:p w:rsidR="00F3119A" w:rsidRPr="00F3119A" w:rsidRDefault="00F3119A" w:rsidP="00F3119A">
      <w:pPr>
        <w:spacing w:before="100" w:beforeAutospacing="1" w:after="100" w:afterAutospacing="1" w:line="240" w:lineRule="auto"/>
        <w:rPr>
          <w:bCs/>
          <w:i/>
        </w:rPr>
      </w:pPr>
      <w:r w:rsidRPr="00F3119A">
        <w:rPr>
          <w:bCs/>
          <w:i/>
        </w:rPr>
        <w:t>Cell Transformation</w:t>
      </w:r>
    </w:p>
    <w:p w:rsidR="00F3119A" w:rsidRDefault="00F3119A" w:rsidP="00F3119A">
      <w:pPr>
        <w:spacing w:before="100" w:beforeAutospacing="1" w:after="100" w:afterAutospacing="1" w:line="240" w:lineRule="auto"/>
        <w:ind w:firstLine="720"/>
        <w:rPr>
          <w:bCs/>
        </w:rPr>
      </w:pPr>
      <w:r>
        <w:rPr>
          <w:bCs/>
        </w:rPr>
        <w:lastRenderedPageBreak/>
        <w:t xml:space="preserve">We used two types of cells: New England </w:t>
      </w:r>
      <w:proofErr w:type="spellStart"/>
      <w:r>
        <w:rPr>
          <w:bCs/>
        </w:rPr>
        <w:t>Biolabs</w:t>
      </w:r>
      <w:proofErr w:type="spellEnd"/>
      <w:r>
        <w:rPr>
          <w:bCs/>
        </w:rPr>
        <w:t xml:space="preserve"> (NEB) and </w:t>
      </w:r>
      <w:proofErr w:type="spellStart"/>
      <w:r>
        <w:rPr>
          <w:bCs/>
        </w:rPr>
        <w:t>Axel’s</w:t>
      </w:r>
      <w:proofErr w:type="spellEnd"/>
      <w:r>
        <w:rPr>
          <w:bCs/>
        </w:rPr>
        <w:t xml:space="preserve"> lab-prepared cells.  They were transformed according to Dr. </w:t>
      </w:r>
      <w:proofErr w:type="spellStart"/>
      <w:r>
        <w:rPr>
          <w:bCs/>
        </w:rPr>
        <w:t>Jurgenson’s</w:t>
      </w:r>
      <w:proofErr w:type="spellEnd"/>
      <w:r>
        <w:rPr>
          <w:bCs/>
        </w:rPr>
        <w:t xml:space="preserve"> heat shock transformation protocol using two different concentrations of plasmid (2 </w:t>
      </w:r>
      <w:proofErr w:type="spellStart"/>
      <w:r>
        <w:rPr>
          <w:bCs/>
        </w:rPr>
        <w:t>uL</w:t>
      </w:r>
      <w:proofErr w:type="spellEnd"/>
      <w:r>
        <w:rPr>
          <w:bCs/>
        </w:rPr>
        <w:t xml:space="preserve">, 10 </w:t>
      </w:r>
      <w:proofErr w:type="spellStart"/>
      <w:r>
        <w:rPr>
          <w:bCs/>
        </w:rPr>
        <w:t>uL</w:t>
      </w:r>
      <w:proofErr w:type="spellEnd"/>
      <w:r>
        <w:rPr>
          <w:bCs/>
        </w:rPr>
        <w:t xml:space="preserve">). We then poured the </w:t>
      </w:r>
      <w:proofErr w:type="spellStart"/>
      <w:r>
        <w:rPr>
          <w:bCs/>
        </w:rPr>
        <w:t>transformants</w:t>
      </w:r>
      <w:proofErr w:type="spellEnd"/>
      <w:r>
        <w:rPr>
          <w:bCs/>
        </w:rPr>
        <w:t xml:space="preserve"> onto agar plates containing antibiotics (</w:t>
      </w:r>
      <w:proofErr w:type="spellStart"/>
      <w:r>
        <w:rPr>
          <w:bCs/>
        </w:rPr>
        <w:t>kanamycin</w:t>
      </w:r>
      <w:proofErr w:type="spellEnd"/>
      <w:r>
        <w:rPr>
          <w:bCs/>
        </w:rPr>
        <w:t xml:space="preserve"> or </w:t>
      </w:r>
      <w:proofErr w:type="spellStart"/>
      <w:r>
        <w:rPr>
          <w:bCs/>
        </w:rPr>
        <w:t>ampicillin</w:t>
      </w:r>
      <w:proofErr w:type="spellEnd"/>
      <w:r>
        <w:rPr>
          <w:bCs/>
        </w:rPr>
        <w:t xml:space="preserve">). </w:t>
      </w:r>
    </w:p>
    <w:p w:rsidR="00F3119A" w:rsidRPr="00F3119A" w:rsidRDefault="00F3119A" w:rsidP="00F3119A">
      <w:pPr>
        <w:spacing w:before="100" w:beforeAutospacing="1" w:after="100" w:afterAutospacing="1" w:line="240" w:lineRule="auto"/>
        <w:rPr>
          <w:bCs/>
          <w:i/>
        </w:rPr>
      </w:pPr>
      <w:r w:rsidRPr="00F3119A">
        <w:rPr>
          <w:bCs/>
          <w:i/>
        </w:rPr>
        <w:t>Liquid Cultures</w:t>
      </w:r>
    </w:p>
    <w:p w:rsidR="00F3119A" w:rsidRDefault="00F3119A" w:rsidP="00F3119A">
      <w:pPr>
        <w:spacing w:before="100" w:beforeAutospacing="1" w:after="100" w:afterAutospacing="1" w:line="240" w:lineRule="auto"/>
        <w:ind w:firstLine="720"/>
        <w:rPr>
          <w:bCs/>
        </w:rPr>
      </w:pPr>
      <w:r>
        <w:rPr>
          <w:bCs/>
        </w:rPr>
        <w:t xml:space="preserve">We picked up single colonies from streaked selected plates to inoculate in 5ml LB broth. We supplemented the broth with 8 </w:t>
      </w:r>
      <w:proofErr w:type="spellStart"/>
      <w:r>
        <w:rPr>
          <w:bCs/>
        </w:rPr>
        <w:t>ul</w:t>
      </w:r>
      <w:proofErr w:type="spellEnd"/>
      <w:r>
        <w:rPr>
          <w:bCs/>
        </w:rPr>
        <w:t xml:space="preserve"> of </w:t>
      </w:r>
      <w:proofErr w:type="spellStart"/>
      <w:r>
        <w:rPr>
          <w:bCs/>
        </w:rPr>
        <w:t>Kanamycin</w:t>
      </w:r>
      <w:proofErr w:type="spellEnd"/>
      <w:r>
        <w:rPr>
          <w:bCs/>
        </w:rPr>
        <w:t xml:space="preserve"> or 5ul of </w:t>
      </w:r>
      <w:proofErr w:type="spellStart"/>
      <w:r>
        <w:rPr>
          <w:bCs/>
        </w:rPr>
        <w:t>Ampicillin</w:t>
      </w:r>
      <w:proofErr w:type="spellEnd"/>
      <w:r>
        <w:rPr>
          <w:bCs/>
        </w:rPr>
        <w:t xml:space="preserve"> according to the plasmids drug resistance requirements and added 50 </w:t>
      </w:r>
      <w:proofErr w:type="spellStart"/>
      <w:r>
        <w:rPr>
          <w:bCs/>
        </w:rPr>
        <w:t>ul</w:t>
      </w:r>
      <w:proofErr w:type="spellEnd"/>
      <w:r>
        <w:rPr>
          <w:bCs/>
        </w:rPr>
        <w:t xml:space="preserve"> of thawed cells if the source was a glycerol stock. We then incubated them overnight at 37</w:t>
      </w:r>
      <w:r w:rsidRPr="00350A63">
        <w:rPr>
          <w:bCs/>
          <w:vertAlign w:val="superscript"/>
        </w:rPr>
        <w:t>0</w:t>
      </w:r>
      <w:r>
        <w:rPr>
          <w:bCs/>
        </w:rPr>
        <w:t>C, continuous shaking at 225 rpm.</w:t>
      </w:r>
    </w:p>
    <w:p w:rsidR="00F3119A" w:rsidRPr="00F3119A" w:rsidRDefault="00F3119A" w:rsidP="00F3119A">
      <w:pPr>
        <w:spacing w:before="100" w:beforeAutospacing="1" w:after="100" w:afterAutospacing="1" w:line="240" w:lineRule="auto"/>
        <w:rPr>
          <w:bCs/>
          <w:i/>
        </w:rPr>
      </w:pPr>
      <w:r w:rsidRPr="00F3119A">
        <w:rPr>
          <w:bCs/>
          <w:i/>
        </w:rPr>
        <w:t>PCR of Wintergreen, Promoter and RFP</w:t>
      </w:r>
    </w:p>
    <w:p w:rsidR="00F3119A" w:rsidRDefault="00F3119A" w:rsidP="00F3119A">
      <w:pPr>
        <w:spacing w:before="100" w:beforeAutospacing="1" w:after="100" w:afterAutospacing="1" w:line="240" w:lineRule="auto"/>
        <w:ind w:firstLine="720"/>
        <w:rPr>
          <w:bCs/>
        </w:rPr>
      </w:pPr>
      <w:r>
        <w:rPr>
          <w:bCs/>
        </w:rPr>
        <w:t>PCR reactions for WG, Promoter and RFP samples were set up using 2x PCR mix (</w:t>
      </w:r>
      <w:proofErr w:type="spellStart"/>
      <w:r>
        <w:rPr>
          <w:bCs/>
        </w:rPr>
        <w:t>Taq</w:t>
      </w:r>
      <w:proofErr w:type="spellEnd"/>
      <w:r>
        <w:rPr>
          <w:bCs/>
        </w:rPr>
        <w:t xml:space="preserve"> polymerase, Buffer and </w:t>
      </w:r>
      <w:proofErr w:type="spellStart"/>
      <w:r>
        <w:rPr>
          <w:bCs/>
        </w:rPr>
        <w:t>dNTPs</w:t>
      </w:r>
      <w:proofErr w:type="spellEnd"/>
      <w:r>
        <w:rPr>
          <w:bCs/>
        </w:rPr>
        <w:t>), forward and reverse primers, DNA template, and H</w:t>
      </w:r>
      <w:r w:rsidRPr="00D33E35">
        <w:rPr>
          <w:bCs/>
          <w:vertAlign w:val="subscript"/>
        </w:rPr>
        <w:t>2</w:t>
      </w:r>
      <w:r>
        <w:rPr>
          <w:bCs/>
        </w:rPr>
        <w:t xml:space="preserve">O.  A positive control with </w:t>
      </w:r>
      <w:proofErr w:type="spellStart"/>
      <w:r>
        <w:rPr>
          <w:bCs/>
        </w:rPr>
        <w:t>pBluescript</w:t>
      </w:r>
      <w:proofErr w:type="spellEnd"/>
      <w:r>
        <w:rPr>
          <w:bCs/>
        </w:rPr>
        <w:t xml:space="preserve"> and a negative control with no template </w:t>
      </w:r>
      <w:proofErr w:type="gramStart"/>
      <w:r>
        <w:rPr>
          <w:bCs/>
        </w:rPr>
        <w:t>was</w:t>
      </w:r>
      <w:proofErr w:type="gramEnd"/>
      <w:r>
        <w:rPr>
          <w:bCs/>
        </w:rPr>
        <w:t xml:space="preserve"> included. </w:t>
      </w:r>
    </w:p>
    <w:p w:rsidR="00F3119A" w:rsidRDefault="00F3119A" w:rsidP="00F3119A">
      <w:pPr>
        <w:spacing w:before="100" w:beforeAutospacing="1" w:after="100" w:afterAutospacing="1" w:line="240" w:lineRule="auto"/>
        <w:rPr>
          <w:bCs/>
        </w:rPr>
      </w:pPr>
      <w:r>
        <w:rPr>
          <w:bCs/>
        </w:rPr>
        <w:t xml:space="preserve">For some of the PCR reactions, </w:t>
      </w:r>
      <w:proofErr w:type="spellStart"/>
      <w:r>
        <w:rPr>
          <w:bCs/>
        </w:rPr>
        <w:t>BioBrick</w:t>
      </w:r>
      <w:proofErr w:type="spellEnd"/>
      <w:r>
        <w:rPr>
          <w:bCs/>
        </w:rPr>
        <w:t xml:space="preserve">-generic VF and VR primers were used.  We used primers modified with </w:t>
      </w:r>
      <w:proofErr w:type="spellStart"/>
      <w:r>
        <w:rPr>
          <w:bCs/>
        </w:rPr>
        <w:t>Biobrick</w:t>
      </w:r>
      <w:proofErr w:type="spellEnd"/>
      <w:r>
        <w:rPr>
          <w:bCs/>
        </w:rPr>
        <w:t xml:space="preserve"> prefixes and suffixes to run PCRs on our RFP and WG samples:</w:t>
      </w:r>
    </w:p>
    <w:p w:rsidR="00F3119A" w:rsidRDefault="00F3119A" w:rsidP="00F3119A">
      <w:pPr>
        <w:pStyle w:val="NoSpacing"/>
      </w:pPr>
      <w:r>
        <w:t>2</w:t>
      </w:r>
      <w:r w:rsidRPr="0053456C">
        <w:rPr>
          <w:vertAlign w:val="superscript"/>
        </w:rPr>
        <w:t>nd</w:t>
      </w:r>
      <w:r>
        <w:t xml:space="preserve"> WG F: 5’-</w:t>
      </w:r>
      <w:r w:rsidRPr="0053456C">
        <w:t>GAATTCGCGGCCGCTTCTAGAGATGGAAGTTGTTGAAGT</w:t>
      </w:r>
    </w:p>
    <w:p w:rsidR="00F3119A" w:rsidRDefault="00F3119A" w:rsidP="00F3119A">
      <w:pPr>
        <w:pStyle w:val="NoSpacing"/>
      </w:pPr>
      <w:r>
        <w:t>2</w:t>
      </w:r>
      <w:r w:rsidRPr="0053456C">
        <w:rPr>
          <w:vertAlign w:val="superscript"/>
        </w:rPr>
        <w:t>nd</w:t>
      </w:r>
      <w:r>
        <w:t xml:space="preserve"> WG R: 5’-</w:t>
      </w:r>
      <w:r w:rsidRPr="0053456C">
        <w:t>ACTGCAGCGGCCGCTACTAGTATTAATTTATTTTGGTCA</w:t>
      </w:r>
    </w:p>
    <w:p w:rsidR="00F3119A" w:rsidRDefault="00F3119A" w:rsidP="00F3119A">
      <w:pPr>
        <w:pStyle w:val="NoSpacing"/>
      </w:pPr>
      <w:r>
        <w:t>RFP F: 5’-</w:t>
      </w:r>
      <w:r w:rsidRPr="0053456C">
        <w:t>GAATTCGCGGCCGCTTCTAGAGATGGCTTCCTCCGAAGA</w:t>
      </w:r>
    </w:p>
    <w:p w:rsidR="00F3119A" w:rsidRDefault="00F3119A" w:rsidP="00F3119A">
      <w:r>
        <w:t>RFP R: 5’-</w:t>
      </w:r>
      <w:r w:rsidRPr="0053456C">
        <w:t>ACTGCAGCGGCCGCTACTAGTATTATTAAGCACCGGTGG</w:t>
      </w:r>
    </w:p>
    <w:p w:rsidR="00F3119A" w:rsidRPr="00F3119A" w:rsidRDefault="00F3119A" w:rsidP="00F3119A">
      <w:pPr>
        <w:rPr>
          <w:i/>
        </w:rPr>
      </w:pPr>
      <w:r>
        <w:rPr>
          <w:i/>
        </w:rPr>
        <w:t>PCR purification</w:t>
      </w:r>
    </w:p>
    <w:p w:rsidR="00F3119A" w:rsidRDefault="00F3119A" w:rsidP="00F3119A">
      <w:r>
        <w:t xml:space="preserve">We used the given protocol (reference- </w:t>
      </w:r>
      <w:proofErr w:type="spellStart"/>
      <w:r>
        <w:t>Qiagen</w:t>
      </w:r>
      <w:proofErr w:type="spellEnd"/>
      <w:r>
        <w:t xml:space="preserve"> PCR purification kit) and then eluted the samples with 35ul of elution buffer. </w:t>
      </w:r>
    </w:p>
    <w:p w:rsidR="00F3119A" w:rsidRPr="00F3119A" w:rsidRDefault="00F3119A" w:rsidP="00F3119A">
      <w:pPr>
        <w:rPr>
          <w:i/>
        </w:rPr>
      </w:pPr>
      <w:r w:rsidRPr="00F3119A">
        <w:rPr>
          <w:i/>
        </w:rPr>
        <w:t xml:space="preserve">Plasmid Isolation </w:t>
      </w:r>
    </w:p>
    <w:p w:rsidR="00F3119A" w:rsidRDefault="00F3119A" w:rsidP="00F3119A">
      <w:r>
        <w:t xml:space="preserve">It was done according to the given protocol (Reference- </w:t>
      </w:r>
      <w:proofErr w:type="spellStart"/>
      <w:r>
        <w:t>Fermentas</w:t>
      </w:r>
      <w:proofErr w:type="spellEnd"/>
      <w:r>
        <w:t xml:space="preserve"> Mini prep Protocol). We did various restriction digests (10x </w:t>
      </w:r>
      <w:proofErr w:type="spellStart"/>
      <w:proofErr w:type="gramStart"/>
      <w:r>
        <w:t>FastDigest</w:t>
      </w:r>
      <w:proofErr w:type="spellEnd"/>
      <w:r>
        <w:t xml:space="preserve">  buffer</w:t>
      </w:r>
      <w:proofErr w:type="gramEnd"/>
      <w:r>
        <w:t xml:space="preserve"> - in some instances TBE Buffer in place of 10x </w:t>
      </w:r>
      <w:proofErr w:type="spellStart"/>
      <w:r>
        <w:t>FastDigest</w:t>
      </w:r>
      <w:proofErr w:type="spellEnd"/>
      <w:r>
        <w:t xml:space="preserve"> buffer was used.  Its implication is highlighted in results and discussion DNA, restriction enzyme, water). The incubation time was 15-30 minutes at 37</w:t>
      </w:r>
      <w:r w:rsidRPr="00D0419B">
        <w:rPr>
          <w:vertAlign w:val="superscript"/>
        </w:rPr>
        <w:t>0</w:t>
      </w:r>
      <w:r>
        <w:t>C.</w:t>
      </w:r>
    </w:p>
    <w:p w:rsidR="00F3119A" w:rsidRPr="00F3119A" w:rsidRDefault="00F3119A" w:rsidP="00F3119A">
      <w:pPr>
        <w:spacing w:before="100" w:beforeAutospacing="1" w:after="100" w:afterAutospacing="1" w:line="240" w:lineRule="auto"/>
        <w:rPr>
          <w:bCs/>
          <w:i/>
        </w:rPr>
      </w:pPr>
      <w:r w:rsidRPr="00F3119A">
        <w:rPr>
          <w:bCs/>
          <w:i/>
        </w:rPr>
        <w:t>Ligation</w:t>
      </w:r>
    </w:p>
    <w:p w:rsidR="00B2201A" w:rsidRPr="00F3119A" w:rsidRDefault="00586F25" w:rsidP="00F3119A">
      <w:pPr>
        <w:spacing w:before="100" w:beforeAutospacing="1" w:after="100" w:afterAutospacing="1" w:line="240" w:lineRule="auto"/>
        <w:rPr>
          <w:bCs/>
        </w:rPr>
      </w:pPr>
      <w:r>
        <w:rPr>
          <w:bCs/>
        </w:rPr>
        <w:t xml:space="preserve">10x buffer, T4 </w:t>
      </w:r>
      <w:proofErr w:type="spellStart"/>
      <w:r>
        <w:rPr>
          <w:bCs/>
        </w:rPr>
        <w:t>ligase</w:t>
      </w:r>
      <w:proofErr w:type="spellEnd"/>
      <w:r w:rsidR="00F3119A">
        <w:rPr>
          <w:bCs/>
        </w:rPr>
        <w:t xml:space="preserve"> (5 Weiss/</w:t>
      </w:r>
      <w:proofErr w:type="spellStart"/>
      <w:r w:rsidR="00F3119A">
        <w:rPr>
          <w:bCs/>
        </w:rPr>
        <w:t>ul</w:t>
      </w:r>
      <w:proofErr w:type="spellEnd"/>
      <w:r w:rsidR="00F3119A">
        <w:rPr>
          <w:bCs/>
        </w:rPr>
        <w:t>), insert vector and water. It was incubated for 30 min at 25</w:t>
      </w:r>
      <w:r w:rsidR="00F3119A" w:rsidRPr="00D0419B">
        <w:rPr>
          <w:bCs/>
          <w:vertAlign w:val="superscript"/>
        </w:rPr>
        <w:t>0</w:t>
      </w:r>
      <w:r w:rsidR="00F3119A">
        <w:rPr>
          <w:bCs/>
        </w:rPr>
        <w:t xml:space="preserve">C.  </w:t>
      </w:r>
    </w:p>
    <w:p w:rsidR="001B344D" w:rsidRDefault="001B344D" w:rsidP="001B344D">
      <w:pPr>
        <w:rPr>
          <w:b/>
          <w:u w:val="single"/>
        </w:rPr>
      </w:pPr>
      <w:r>
        <w:rPr>
          <w:b/>
          <w:u w:val="single"/>
        </w:rPr>
        <w:t>Results</w:t>
      </w:r>
    </w:p>
    <w:p w:rsidR="002E3125" w:rsidRDefault="002E3125" w:rsidP="001B344D">
      <w:r>
        <w:rPr>
          <w:i/>
        </w:rPr>
        <w:t>Growth of Bacteria in LB media</w:t>
      </w:r>
    </w:p>
    <w:p w:rsidR="002E3125" w:rsidRDefault="002E3125" w:rsidP="001B344D">
      <w:r>
        <w:lastRenderedPageBreak/>
        <w:tab/>
        <w:t xml:space="preserve">Table 1 lists each </w:t>
      </w:r>
      <w:proofErr w:type="spellStart"/>
      <w:r>
        <w:t>BioBrick</w:t>
      </w:r>
      <w:proofErr w:type="spellEnd"/>
      <w:r>
        <w:t xml:space="preserve"> part we used and the number of agar plates/liquid cultures we attempted to grow containing each part followed by how many actually did grow.</w:t>
      </w:r>
      <w:r w:rsidR="00F94407">
        <w:t xml:space="preserve">  For the Pro-RFP cultures, we are only counting growth by how many cultures were red regardless of other bacterial growth in the container.</w:t>
      </w:r>
      <w:r w:rsidR="003A705C">
        <w:t xml:space="preserve">  Most of the controls gave expected results, however our negative plates for both initially amplifying the </w:t>
      </w:r>
      <w:proofErr w:type="spellStart"/>
      <w:r w:rsidR="003A705C">
        <w:t>BioBrick</w:t>
      </w:r>
      <w:proofErr w:type="spellEnd"/>
      <w:r w:rsidR="003A705C">
        <w:t xml:space="preserve"> parts and plating our device ligation, all on </w:t>
      </w:r>
      <w:proofErr w:type="spellStart"/>
      <w:r w:rsidR="003A705C">
        <w:t>ampicillin</w:t>
      </w:r>
      <w:proofErr w:type="spellEnd"/>
      <w:r w:rsidR="003A705C">
        <w:t>, grew a few colonies.</w:t>
      </w:r>
    </w:p>
    <w:p w:rsidR="00526EF4" w:rsidRDefault="00526EF4" w:rsidP="001B344D"/>
    <w:p w:rsidR="00526EF4" w:rsidRDefault="00526EF4" w:rsidP="001B344D"/>
    <w:tbl>
      <w:tblPr>
        <w:tblStyle w:val="TableGrid"/>
        <w:tblW w:w="0" w:type="auto"/>
        <w:tblLook w:val="04A0"/>
      </w:tblPr>
      <w:tblGrid>
        <w:gridCol w:w="1915"/>
        <w:gridCol w:w="1915"/>
        <w:gridCol w:w="1915"/>
        <w:gridCol w:w="1915"/>
        <w:gridCol w:w="1916"/>
      </w:tblGrid>
      <w:tr w:rsidR="002E3125">
        <w:tc>
          <w:tcPr>
            <w:tcW w:w="1915" w:type="dxa"/>
            <w:vAlign w:val="center"/>
          </w:tcPr>
          <w:p w:rsidR="002E3125" w:rsidRPr="005E564B" w:rsidRDefault="005E564B" w:rsidP="005E564B">
            <w:pPr>
              <w:jc w:val="center"/>
              <w:rPr>
                <w:u w:val="single"/>
              </w:rPr>
            </w:pPr>
            <w:r w:rsidRPr="005E564B">
              <w:rPr>
                <w:u w:val="single"/>
              </w:rPr>
              <w:t>Part</w:t>
            </w:r>
          </w:p>
        </w:tc>
        <w:tc>
          <w:tcPr>
            <w:tcW w:w="1915" w:type="dxa"/>
          </w:tcPr>
          <w:p w:rsidR="002E3125" w:rsidRPr="005E564B" w:rsidRDefault="002E3125" w:rsidP="002E3125">
            <w:pPr>
              <w:jc w:val="center"/>
              <w:rPr>
                <w:u w:val="single"/>
              </w:rPr>
            </w:pPr>
            <w:r w:rsidRPr="005E564B">
              <w:rPr>
                <w:u w:val="single"/>
              </w:rPr>
              <w:t># Plates Attempted</w:t>
            </w:r>
          </w:p>
        </w:tc>
        <w:tc>
          <w:tcPr>
            <w:tcW w:w="1915" w:type="dxa"/>
          </w:tcPr>
          <w:p w:rsidR="002E3125" w:rsidRPr="005E564B" w:rsidRDefault="005E564B" w:rsidP="002E3125">
            <w:pPr>
              <w:jc w:val="center"/>
              <w:rPr>
                <w:u w:val="single"/>
              </w:rPr>
            </w:pPr>
            <w:r w:rsidRPr="005E564B">
              <w:rPr>
                <w:u w:val="single"/>
              </w:rPr>
              <w:t># Plates w/ Growth</w:t>
            </w:r>
          </w:p>
        </w:tc>
        <w:tc>
          <w:tcPr>
            <w:tcW w:w="1915" w:type="dxa"/>
          </w:tcPr>
          <w:p w:rsidR="002E3125" w:rsidRPr="005E564B" w:rsidRDefault="005E564B" w:rsidP="002E3125">
            <w:pPr>
              <w:jc w:val="center"/>
              <w:rPr>
                <w:u w:val="single"/>
              </w:rPr>
            </w:pPr>
            <w:r w:rsidRPr="005E564B">
              <w:rPr>
                <w:u w:val="single"/>
              </w:rPr>
              <w:t># Liquid Cultures Attempted</w:t>
            </w:r>
          </w:p>
        </w:tc>
        <w:tc>
          <w:tcPr>
            <w:tcW w:w="1916" w:type="dxa"/>
          </w:tcPr>
          <w:p w:rsidR="002E3125" w:rsidRPr="005E564B" w:rsidRDefault="005E564B" w:rsidP="002E3125">
            <w:pPr>
              <w:jc w:val="center"/>
              <w:rPr>
                <w:u w:val="single"/>
              </w:rPr>
            </w:pPr>
            <w:r w:rsidRPr="005E564B">
              <w:rPr>
                <w:u w:val="single"/>
              </w:rPr>
              <w:t># Liquid Cultures w/ Growth</w:t>
            </w:r>
          </w:p>
        </w:tc>
      </w:tr>
      <w:tr w:rsidR="002E3125">
        <w:tc>
          <w:tcPr>
            <w:tcW w:w="1915" w:type="dxa"/>
          </w:tcPr>
          <w:p w:rsidR="002E3125" w:rsidRDefault="005E564B" w:rsidP="002E3125">
            <w:pPr>
              <w:jc w:val="center"/>
            </w:pPr>
            <w:r>
              <w:t>GFP</w:t>
            </w:r>
          </w:p>
        </w:tc>
        <w:tc>
          <w:tcPr>
            <w:tcW w:w="1915" w:type="dxa"/>
            <w:vAlign w:val="center"/>
          </w:tcPr>
          <w:p w:rsidR="002E3125" w:rsidRDefault="005E564B" w:rsidP="005E564B">
            <w:pPr>
              <w:jc w:val="center"/>
            </w:pPr>
            <w:r>
              <w:t>6</w:t>
            </w:r>
          </w:p>
        </w:tc>
        <w:tc>
          <w:tcPr>
            <w:tcW w:w="1915" w:type="dxa"/>
            <w:vAlign w:val="center"/>
          </w:tcPr>
          <w:p w:rsidR="002E3125" w:rsidRDefault="005E564B" w:rsidP="005E564B">
            <w:pPr>
              <w:jc w:val="center"/>
            </w:pPr>
            <w:r>
              <w:t>4</w:t>
            </w:r>
          </w:p>
        </w:tc>
        <w:tc>
          <w:tcPr>
            <w:tcW w:w="1915" w:type="dxa"/>
            <w:vAlign w:val="center"/>
          </w:tcPr>
          <w:p w:rsidR="002E3125" w:rsidRDefault="005E564B" w:rsidP="005E564B">
            <w:pPr>
              <w:jc w:val="center"/>
            </w:pPr>
            <w:r>
              <w:t>30</w:t>
            </w:r>
          </w:p>
        </w:tc>
        <w:tc>
          <w:tcPr>
            <w:tcW w:w="1916" w:type="dxa"/>
            <w:vAlign w:val="center"/>
          </w:tcPr>
          <w:p w:rsidR="002E3125" w:rsidRDefault="005E564B" w:rsidP="005E564B">
            <w:pPr>
              <w:jc w:val="center"/>
            </w:pPr>
            <w:r>
              <w:t>21</w:t>
            </w:r>
          </w:p>
        </w:tc>
      </w:tr>
      <w:tr w:rsidR="002E3125">
        <w:tc>
          <w:tcPr>
            <w:tcW w:w="1915" w:type="dxa"/>
          </w:tcPr>
          <w:p w:rsidR="002E3125" w:rsidRDefault="005E564B" w:rsidP="002E3125">
            <w:pPr>
              <w:jc w:val="center"/>
            </w:pPr>
            <w:r>
              <w:t>WG</w:t>
            </w:r>
          </w:p>
        </w:tc>
        <w:tc>
          <w:tcPr>
            <w:tcW w:w="1915" w:type="dxa"/>
            <w:vAlign w:val="center"/>
          </w:tcPr>
          <w:p w:rsidR="002E3125" w:rsidRDefault="005E564B" w:rsidP="005E564B">
            <w:pPr>
              <w:jc w:val="center"/>
            </w:pPr>
            <w:r>
              <w:t>6</w:t>
            </w:r>
          </w:p>
        </w:tc>
        <w:tc>
          <w:tcPr>
            <w:tcW w:w="1915" w:type="dxa"/>
            <w:vAlign w:val="center"/>
          </w:tcPr>
          <w:p w:rsidR="002E3125" w:rsidRDefault="005E564B" w:rsidP="005E564B">
            <w:pPr>
              <w:jc w:val="center"/>
            </w:pPr>
            <w:r>
              <w:t>4</w:t>
            </w:r>
          </w:p>
        </w:tc>
        <w:tc>
          <w:tcPr>
            <w:tcW w:w="1915" w:type="dxa"/>
            <w:vAlign w:val="center"/>
          </w:tcPr>
          <w:p w:rsidR="002E3125" w:rsidRDefault="005E564B" w:rsidP="005E564B">
            <w:pPr>
              <w:jc w:val="center"/>
            </w:pPr>
            <w:r>
              <w:t>20</w:t>
            </w:r>
          </w:p>
        </w:tc>
        <w:tc>
          <w:tcPr>
            <w:tcW w:w="1916" w:type="dxa"/>
            <w:vAlign w:val="center"/>
          </w:tcPr>
          <w:p w:rsidR="002E3125" w:rsidRDefault="005E564B" w:rsidP="005E564B">
            <w:pPr>
              <w:jc w:val="center"/>
            </w:pPr>
            <w:r>
              <w:t>20</w:t>
            </w:r>
          </w:p>
        </w:tc>
      </w:tr>
      <w:tr w:rsidR="002E3125">
        <w:tc>
          <w:tcPr>
            <w:tcW w:w="1915" w:type="dxa"/>
          </w:tcPr>
          <w:p w:rsidR="002E3125" w:rsidRDefault="005E564B" w:rsidP="002E3125">
            <w:pPr>
              <w:jc w:val="center"/>
            </w:pPr>
            <w:r>
              <w:t>1</w:t>
            </w:r>
            <w:r w:rsidRPr="005E564B">
              <w:rPr>
                <w:vertAlign w:val="superscript"/>
              </w:rPr>
              <w:t>st</w:t>
            </w:r>
            <w:r>
              <w:t xml:space="preserve"> </w:t>
            </w:r>
            <w:proofErr w:type="spellStart"/>
            <w:r>
              <w:t>AraC</w:t>
            </w:r>
            <w:proofErr w:type="spellEnd"/>
            <w:r>
              <w:t xml:space="preserve"> Promoter (</w:t>
            </w:r>
            <w:r w:rsidR="001E0FE4">
              <w:t>I0500)</w:t>
            </w:r>
          </w:p>
        </w:tc>
        <w:tc>
          <w:tcPr>
            <w:tcW w:w="1915" w:type="dxa"/>
            <w:vAlign w:val="center"/>
          </w:tcPr>
          <w:p w:rsidR="002E3125" w:rsidRDefault="005E564B" w:rsidP="005E564B">
            <w:pPr>
              <w:jc w:val="center"/>
            </w:pPr>
            <w:r>
              <w:t>4</w:t>
            </w:r>
          </w:p>
        </w:tc>
        <w:tc>
          <w:tcPr>
            <w:tcW w:w="1915" w:type="dxa"/>
            <w:vAlign w:val="center"/>
          </w:tcPr>
          <w:p w:rsidR="002E3125" w:rsidRDefault="005E564B" w:rsidP="005E564B">
            <w:pPr>
              <w:jc w:val="center"/>
            </w:pPr>
            <w:r>
              <w:t>0</w:t>
            </w:r>
          </w:p>
        </w:tc>
        <w:tc>
          <w:tcPr>
            <w:tcW w:w="1915" w:type="dxa"/>
            <w:vAlign w:val="center"/>
          </w:tcPr>
          <w:p w:rsidR="002E3125" w:rsidRDefault="005E564B" w:rsidP="005E564B">
            <w:pPr>
              <w:jc w:val="center"/>
            </w:pPr>
            <w:r>
              <w:t>-</w:t>
            </w:r>
          </w:p>
        </w:tc>
        <w:tc>
          <w:tcPr>
            <w:tcW w:w="1916" w:type="dxa"/>
            <w:vAlign w:val="center"/>
          </w:tcPr>
          <w:p w:rsidR="002E3125" w:rsidRDefault="005E564B" w:rsidP="005E564B">
            <w:pPr>
              <w:jc w:val="center"/>
            </w:pPr>
            <w:r>
              <w:t>-</w:t>
            </w:r>
          </w:p>
        </w:tc>
      </w:tr>
      <w:tr w:rsidR="002E3125">
        <w:tc>
          <w:tcPr>
            <w:tcW w:w="1915" w:type="dxa"/>
          </w:tcPr>
          <w:p w:rsidR="002E3125" w:rsidRDefault="005E564B" w:rsidP="002E3125">
            <w:pPr>
              <w:jc w:val="center"/>
            </w:pPr>
            <w:r>
              <w:t>2</w:t>
            </w:r>
            <w:r w:rsidRPr="005E564B">
              <w:rPr>
                <w:vertAlign w:val="superscript"/>
              </w:rPr>
              <w:t>nd</w:t>
            </w:r>
            <w:r>
              <w:t xml:space="preserve"> </w:t>
            </w:r>
            <w:proofErr w:type="spellStart"/>
            <w:r>
              <w:t>AraC</w:t>
            </w:r>
            <w:proofErr w:type="spellEnd"/>
            <w:r>
              <w:t xml:space="preserve"> Promoter (</w:t>
            </w:r>
            <w:r w:rsidR="001E0FE4">
              <w:t>R0080)</w:t>
            </w:r>
          </w:p>
        </w:tc>
        <w:tc>
          <w:tcPr>
            <w:tcW w:w="1915" w:type="dxa"/>
            <w:vAlign w:val="center"/>
          </w:tcPr>
          <w:p w:rsidR="002E3125" w:rsidRDefault="005E564B" w:rsidP="005E564B">
            <w:pPr>
              <w:jc w:val="center"/>
            </w:pPr>
            <w:r>
              <w:t>-</w:t>
            </w:r>
          </w:p>
        </w:tc>
        <w:tc>
          <w:tcPr>
            <w:tcW w:w="1915" w:type="dxa"/>
            <w:vAlign w:val="center"/>
          </w:tcPr>
          <w:p w:rsidR="002E3125" w:rsidRDefault="005E564B" w:rsidP="005E564B">
            <w:pPr>
              <w:jc w:val="center"/>
            </w:pPr>
            <w:r>
              <w:t>-</w:t>
            </w:r>
          </w:p>
        </w:tc>
        <w:tc>
          <w:tcPr>
            <w:tcW w:w="1915" w:type="dxa"/>
            <w:vAlign w:val="center"/>
          </w:tcPr>
          <w:p w:rsidR="002E3125" w:rsidRDefault="005E564B" w:rsidP="005E564B">
            <w:pPr>
              <w:jc w:val="center"/>
            </w:pPr>
            <w:r>
              <w:t>2</w:t>
            </w:r>
          </w:p>
        </w:tc>
        <w:tc>
          <w:tcPr>
            <w:tcW w:w="1916" w:type="dxa"/>
            <w:vAlign w:val="center"/>
          </w:tcPr>
          <w:p w:rsidR="002E3125" w:rsidRDefault="005E564B" w:rsidP="005E564B">
            <w:pPr>
              <w:jc w:val="center"/>
            </w:pPr>
            <w:r>
              <w:t>2</w:t>
            </w:r>
          </w:p>
        </w:tc>
      </w:tr>
      <w:tr w:rsidR="002E3125">
        <w:tc>
          <w:tcPr>
            <w:tcW w:w="1915" w:type="dxa"/>
          </w:tcPr>
          <w:p w:rsidR="002E3125" w:rsidRDefault="005E564B" w:rsidP="002E3125">
            <w:pPr>
              <w:jc w:val="center"/>
            </w:pPr>
            <w:r>
              <w:t>RFP</w:t>
            </w:r>
          </w:p>
        </w:tc>
        <w:tc>
          <w:tcPr>
            <w:tcW w:w="1915" w:type="dxa"/>
            <w:vAlign w:val="center"/>
          </w:tcPr>
          <w:p w:rsidR="002E3125" w:rsidRDefault="005E564B" w:rsidP="005E564B">
            <w:pPr>
              <w:jc w:val="center"/>
            </w:pPr>
            <w:r>
              <w:t>-</w:t>
            </w:r>
          </w:p>
        </w:tc>
        <w:tc>
          <w:tcPr>
            <w:tcW w:w="1915" w:type="dxa"/>
            <w:vAlign w:val="center"/>
          </w:tcPr>
          <w:p w:rsidR="002E3125" w:rsidRDefault="005E564B" w:rsidP="005E564B">
            <w:pPr>
              <w:jc w:val="center"/>
            </w:pPr>
            <w:r>
              <w:t>-</w:t>
            </w:r>
          </w:p>
        </w:tc>
        <w:tc>
          <w:tcPr>
            <w:tcW w:w="1915" w:type="dxa"/>
            <w:vAlign w:val="center"/>
          </w:tcPr>
          <w:p w:rsidR="002E3125" w:rsidRDefault="005E564B" w:rsidP="005E564B">
            <w:pPr>
              <w:jc w:val="center"/>
            </w:pPr>
            <w:r>
              <w:t>4</w:t>
            </w:r>
          </w:p>
        </w:tc>
        <w:tc>
          <w:tcPr>
            <w:tcW w:w="1916" w:type="dxa"/>
            <w:vAlign w:val="center"/>
          </w:tcPr>
          <w:p w:rsidR="002E3125" w:rsidRDefault="005E564B" w:rsidP="005E564B">
            <w:pPr>
              <w:jc w:val="center"/>
            </w:pPr>
            <w:r>
              <w:t>4</w:t>
            </w:r>
          </w:p>
        </w:tc>
      </w:tr>
      <w:tr w:rsidR="002E3125">
        <w:tc>
          <w:tcPr>
            <w:tcW w:w="1915" w:type="dxa"/>
          </w:tcPr>
          <w:p w:rsidR="002E3125" w:rsidRDefault="005E564B" w:rsidP="002E3125">
            <w:pPr>
              <w:jc w:val="center"/>
            </w:pPr>
            <w:r>
              <w:t>Pro-RFP</w:t>
            </w:r>
          </w:p>
        </w:tc>
        <w:tc>
          <w:tcPr>
            <w:tcW w:w="1915" w:type="dxa"/>
            <w:vAlign w:val="center"/>
          </w:tcPr>
          <w:p w:rsidR="002E3125" w:rsidRDefault="005E564B" w:rsidP="005E564B">
            <w:pPr>
              <w:jc w:val="center"/>
            </w:pPr>
            <w:r>
              <w:t>8</w:t>
            </w:r>
          </w:p>
        </w:tc>
        <w:tc>
          <w:tcPr>
            <w:tcW w:w="1915" w:type="dxa"/>
            <w:vAlign w:val="center"/>
          </w:tcPr>
          <w:p w:rsidR="002E3125" w:rsidRDefault="005E564B" w:rsidP="005E564B">
            <w:pPr>
              <w:jc w:val="center"/>
            </w:pPr>
            <w:r>
              <w:t>1</w:t>
            </w:r>
          </w:p>
        </w:tc>
        <w:tc>
          <w:tcPr>
            <w:tcW w:w="1915" w:type="dxa"/>
            <w:vAlign w:val="center"/>
          </w:tcPr>
          <w:p w:rsidR="002E3125" w:rsidRDefault="005E564B" w:rsidP="005E564B">
            <w:pPr>
              <w:jc w:val="center"/>
            </w:pPr>
            <w:r>
              <w:t>16</w:t>
            </w:r>
          </w:p>
        </w:tc>
        <w:tc>
          <w:tcPr>
            <w:tcW w:w="1916" w:type="dxa"/>
            <w:vAlign w:val="center"/>
          </w:tcPr>
          <w:p w:rsidR="002E3125" w:rsidRDefault="005E564B" w:rsidP="005E564B">
            <w:pPr>
              <w:jc w:val="center"/>
            </w:pPr>
            <w:r>
              <w:t>9</w:t>
            </w:r>
          </w:p>
        </w:tc>
      </w:tr>
      <w:tr w:rsidR="002E3125">
        <w:tc>
          <w:tcPr>
            <w:tcW w:w="1915" w:type="dxa"/>
          </w:tcPr>
          <w:p w:rsidR="002E3125" w:rsidRDefault="005E564B" w:rsidP="002E3125">
            <w:pPr>
              <w:jc w:val="center"/>
            </w:pPr>
            <w:r>
              <w:t>Onion Group Promoters</w:t>
            </w:r>
          </w:p>
        </w:tc>
        <w:tc>
          <w:tcPr>
            <w:tcW w:w="1915" w:type="dxa"/>
            <w:vAlign w:val="center"/>
          </w:tcPr>
          <w:p w:rsidR="002E3125" w:rsidRDefault="005E564B" w:rsidP="005E564B">
            <w:pPr>
              <w:jc w:val="center"/>
            </w:pPr>
            <w:r>
              <w:t>-</w:t>
            </w:r>
          </w:p>
        </w:tc>
        <w:tc>
          <w:tcPr>
            <w:tcW w:w="1915" w:type="dxa"/>
            <w:vAlign w:val="center"/>
          </w:tcPr>
          <w:p w:rsidR="002E3125" w:rsidRDefault="005E564B" w:rsidP="005E564B">
            <w:pPr>
              <w:jc w:val="center"/>
            </w:pPr>
            <w:r>
              <w:t>-</w:t>
            </w:r>
          </w:p>
        </w:tc>
        <w:tc>
          <w:tcPr>
            <w:tcW w:w="1915" w:type="dxa"/>
            <w:vAlign w:val="center"/>
          </w:tcPr>
          <w:p w:rsidR="002E3125" w:rsidRDefault="005E564B" w:rsidP="005E564B">
            <w:pPr>
              <w:jc w:val="center"/>
            </w:pPr>
            <w:r>
              <w:t>16</w:t>
            </w:r>
          </w:p>
        </w:tc>
        <w:tc>
          <w:tcPr>
            <w:tcW w:w="1916" w:type="dxa"/>
            <w:vAlign w:val="center"/>
          </w:tcPr>
          <w:p w:rsidR="00C44F1A" w:rsidRDefault="005E564B" w:rsidP="00C44F1A">
            <w:pPr>
              <w:jc w:val="center"/>
            </w:pPr>
            <w:r>
              <w:t>16</w:t>
            </w:r>
          </w:p>
        </w:tc>
      </w:tr>
      <w:tr w:rsidR="00C44F1A">
        <w:tc>
          <w:tcPr>
            <w:tcW w:w="1915" w:type="dxa"/>
          </w:tcPr>
          <w:p w:rsidR="00C44F1A" w:rsidRDefault="00C44F1A" w:rsidP="002E3125">
            <w:pPr>
              <w:jc w:val="center"/>
            </w:pPr>
            <w:r>
              <w:t>Total</w:t>
            </w:r>
          </w:p>
        </w:tc>
        <w:tc>
          <w:tcPr>
            <w:tcW w:w="1915" w:type="dxa"/>
            <w:vAlign w:val="center"/>
          </w:tcPr>
          <w:p w:rsidR="00C44F1A" w:rsidRDefault="00C44F1A" w:rsidP="005E564B">
            <w:pPr>
              <w:jc w:val="center"/>
            </w:pPr>
            <w:r>
              <w:t>24</w:t>
            </w:r>
          </w:p>
        </w:tc>
        <w:tc>
          <w:tcPr>
            <w:tcW w:w="1915" w:type="dxa"/>
            <w:vAlign w:val="center"/>
          </w:tcPr>
          <w:p w:rsidR="00C44F1A" w:rsidRDefault="00C44F1A" w:rsidP="005E564B">
            <w:pPr>
              <w:jc w:val="center"/>
            </w:pPr>
            <w:r>
              <w:t>9</w:t>
            </w:r>
          </w:p>
        </w:tc>
        <w:tc>
          <w:tcPr>
            <w:tcW w:w="1915" w:type="dxa"/>
            <w:vAlign w:val="center"/>
          </w:tcPr>
          <w:p w:rsidR="00C44F1A" w:rsidRDefault="00C44F1A" w:rsidP="005E564B">
            <w:pPr>
              <w:jc w:val="center"/>
            </w:pPr>
            <w:r>
              <w:t>88</w:t>
            </w:r>
          </w:p>
        </w:tc>
        <w:tc>
          <w:tcPr>
            <w:tcW w:w="1916" w:type="dxa"/>
            <w:vAlign w:val="center"/>
          </w:tcPr>
          <w:p w:rsidR="00C44F1A" w:rsidRDefault="00C44F1A" w:rsidP="00C44F1A">
            <w:pPr>
              <w:jc w:val="center"/>
            </w:pPr>
            <w:r>
              <w:t>72</w:t>
            </w:r>
          </w:p>
        </w:tc>
      </w:tr>
    </w:tbl>
    <w:p w:rsidR="002E3125" w:rsidRPr="00F94407" w:rsidRDefault="00F94407" w:rsidP="002E3125">
      <w:pPr>
        <w:jc w:val="center"/>
      </w:pPr>
      <w:r>
        <w:rPr>
          <w:b/>
        </w:rPr>
        <w:t>Table 1:</w:t>
      </w:r>
      <w:r>
        <w:t xml:space="preserve"> Growth of Bacteria in LB media</w:t>
      </w:r>
    </w:p>
    <w:p w:rsidR="001B344D" w:rsidRDefault="00634983" w:rsidP="001B344D">
      <w:r>
        <w:rPr>
          <w:i/>
        </w:rPr>
        <w:t>Restriction Digestion of Plasmid Inserts</w:t>
      </w:r>
    </w:p>
    <w:p w:rsidR="00634983" w:rsidRDefault="00634983" w:rsidP="00D44155">
      <w:r>
        <w:tab/>
        <w:t xml:space="preserve">Combinations of different restriction enzymes for the restriction sites of the </w:t>
      </w:r>
      <w:proofErr w:type="spellStart"/>
      <w:r>
        <w:t>BioBrick</w:t>
      </w:r>
      <w:proofErr w:type="spellEnd"/>
      <w:r>
        <w:t xml:space="preserve">-standard prefix and suffix were used to cut out </w:t>
      </w:r>
      <w:r w:rsidR="00283AA0">
        <w:t xml:space="preserve">the </w:t>
      </w:r>
      <w:r>
        <w:t xml:space="preserve">part inserts.  All four prefix/suffix restriction enzymes </w:t>
      </w:r>
      <w:r w:rsidR="00A20457">
        <w:t>(</w:t>
      </w:r>
      <w:proofErr w:type="spellStart"/>
      <w:r w:rsidR="00A20457">
        <w:t>EcoRI</w:t>
      </w:r>
      <w:proofErr w:type="spellEnd"/>
      <w:r w:rsidR="00A20457">
        <w:t xml:space="preserve">, </w:t>
      </w:r>
      <w:proofErr w:type="spellStart"/>
      <w:r w:rsidR="00A20457">
        <w:t>XbaI</w:t>
      </w:r>
      <w:proofErr w:type="spellEnd"/>
      <w:r w:rsidR="00A20457">
        <w:t xml:space="preserve">, </w:t>
      </w:r>
      <w:proofErr w:type="spellStart"/>
      <w:r w:rsidR="00A20457">
        <w:t>SpeI</w:t>
      </w:r>
      <w:proofErr w:type="spellEnd"/>
      <w:r w:rsidR="00A20457">
        <w:t xml:space="preserve">, and </w:t>
      </w:r>
      <w:proofErr w:type="spellStart"/>
      <w:r w:rsidR="00A20457">
        <w:t>PstI</w:t>
      </w:r>
      <w:proofErr w:type="spellEnd"/>
      <w:r w:rsidR="00A20457">
        <w:t xml:space="preserve">) </w:t>
      </w:r>
      <w:r>
        <w:t>were able to cut out the inserts for the four different types of promoters we obtained from the Onion group</w:t>
      </w:r>
      <w:r w:rsidR="000B769B">
        <w:t xml:space="preserve"> (Figure 6)</w:t>
      </w:r>
      <w:r>
        <w:t xml:space="preserve">. </w:t>
      </w:r>
      <w:r w:rsidR="00D44155">
        <w:t xml:space="preserve"> </w:t>
      </w:r>
      <w:r w:rsidR="003D1E5F">
        <w:t xml:space="preserve">Our first attempted digestion of the </w:t>
      </w:r>
      <w:proofErr w:type="spellStart"/>
      <w:r w:rsidR="003D1E5F">
        <w:t>arabinose</w:t>
      </w:r>
      <w:proofErr w:type="spellEnd"/>
      <w:r w:rsidR="003D1E5F">
        <w:t xml:space="preserve">-inducible promoter (R0080) with </w:t>
      </w:r>
      <w:proofErr w:type="spellStart"/>
      <w:r w:rsidR="003D1E5F">
        <w:t>XbaI</w:t>
      </w:r>
      <w:proofErr w:type="spellEnd"/>
      <w:r w:rsidR="003D1E5F">
        <w:t xml:space="preserve"> and </w:t>
      </w:r>
      <w:proofErr w:type="spellStart"/>
      <w:r w:rsidR="003D1E5F">
        <w:t>SpeI</w:t>
      </w:r>
      <w:proofErr w:type="spellEnd"/>
      <w:r w:rsidR="003D1E5F">
        <w:t xml:space="preserve"> was hampered by the use of the wrong buffer (TBE buffer) in the reaction instead of </w:t>
      </w:r>
      <w:proofErr w:type="spellStart"/>
      <w:r w:rsidR="003D1E5F">
        <w:t>FastDigest</w:t>
      </w:r>
      <w:proofErr w:type="spellEnd"/>
      <w:r w:rsidR="003D1E5F">
        <w:t xml:space="preserve"> buffer</w:t>
      </w:r>
      <w:r w:rsidR="000B769B">
        <w:t xml:space="preserve"> (Figure 3)</w:t>
      </w:r>
      <w:r w:rsidR="003D1E5F">
        <w:t xml:space="preserve">.  </w:t>
      </w:r>
      <w:r w:rsidR="00A20457">
        <w:t xml:space="preserve">Only </w:t>
      </w:r>
      <w:proofErr w:type="spellStart"/>
      <w:r w:rsidR="00A20457">
        <w:t>EcoRI</w:t>
      </w:r>
      <w:proofErr w:type="spellEnd"/>
      <w:r w:rsidR="00A20457">
        <w:t xml:space="preserve"> and </w:t>
      </w:r>
      <w:proofErr w:type="spellStart"/>
      <w:r w:rsidR="00A20457">
        <w:t>PstI</w:t>
      </w:r>
      <w:proofErr w:type="spellEnd"/>
      <w:r w:rsidR="00A20457">
        <w:t xml:space="preserve"> could successfully digest out the WG insert with </w:t>
      </w:r>
      <w:proofErr w:type="spellStart"/>
      <w:r w:rsidR="00A20457">
        <w:t>XbaI</w:t>
      </w:r>
      <w:proofErr w:type="spellEnd"/>
      <w:r w:rsidR="00A20457">
        <w:t xml:space="preserve"> and </w:t>
      </w:r>
      <w:proofErr w:type="spellStart"/>
      <w:r w:rsidR="00A20457">
        <w:t>SpeI</w:t>
      </w:r>
      <w:proofErr w:type="spellEnd"/>
      <w:r w:rsidR="00A20457">
        <w:t xml:space="preserve"> producing negative results (no insert released)</w:t>
      </w:r>
      <w:r w:rsidR="000B769B">
        <w:t xml:space="preserve"> (Figure 5)</w:t>
      </w:r>
      <w:r w:rsidR="00A20457">
        <w:t xml:space="preserve">.  </w:t>
      </w:r>
      <w:r w:rsidR="002B25EB">
        <w:t>When RFP was initially digested</w:t>
      </w:r>
      <w:r w:rsidR="001262A0">
        <w:t xml:space="preserve"> from its plasmid</w:t>
      </w:r>
      <w:r w:rsidR="002B25EB">
        <w:t xml:space="preserve">, only </w:t>
      </w:r>
      <w:proofErr w:type="spellStart"/>
      <w:r w:rsidR="002B25EB">
        <w:t>EcoRI</w:t>
      </w:r>
      <w:proofErr w:type="spellEnd"/>
      <w:r w:rsidR="002B25EB">
        <w:t xml:space="preserve">, </w:t>
      </w:r>
      <w:proofErr w:type="spellStart"/>
      <w:r w:rsidR="002B25EB">
        <w:t>XbaI</w:t>
      </w:r>
      <w:proofErr w:type="spellEnd"/>
      <w:r w:rsidR="002B25EB">
        <w:t xml:space="preserve">, and </w:t>
      </w:r>
      <w:proofErr w:type="spellStart"/>
      <w:r w:rsidR="002B25EB">
        <w:t>PstI</w:t>
      </w:r>
      <w:proofErr w:type="spellEnd"/>
      <w:r w:rsidR="002B25EB">
        <w:t xml:space="preserve"> </w:t>
      </w:r>
      <w:r w:rsidR="001262A0">
        <w:t>would appear to cut</w:t>
      </w:r>
      <w:r w:rsidR="000B769B">
        <w:t xml:space="preserve"> (Figure 7)</w:t>
      </w:r>
      <w:r w:rsidR="001262A0">
        <w:t xml:space="preserve">.  Digestion of the final RFP PCR product with </w:t>
      </w:r>
      <w:proofErr w:type="spellStart"/>
      <w:r w:rsidR="001262A0">
        <w:t>XbaI</w:t>
      </w:r>
      <w:proofErr w:type="spellEnd"/>
      <w:r w:rsidR="001262A0">
        <w:t xml:space="preserve"> and </w:t>
      </w:r>
      <w:proofErr w:type="spellStart"/>
      <w:r w:rsidR="001262A0">
        <w:t>PstI</w:t>
      </w:r>
      <w:proofErr w:type="spellEnd"/>
      <w:r w:rsidR="001262A0">
        <w:t xml:space="preserve"> was assumed to have worked because of the success of the insert-vector ligation made apparent by the red E. coli colony that grew.  However, this was not confirmed by gel electrophoresis nor, in our opinion, did it need to be confirmed.</w:t>
      </w:r>
    </w:p>
    <w:p w:rsidR="00D44155" w:rsidRDefault="00236220" w:rsidP="00D44155">
      <w:pPr>
        <w:jc w:val="center"/>
        <w:rPr>
          <w:rFonts w:ascii="Calibri" w:hAnsi="Calibri" w:cs="Calibri"/>
        </w:rPr>
      </w:pPr>
      <w:r>
        <w:rPr>
          <w:rFonts w:ascii="Calibri" w:hAnsi="Calibri" w:cs="Calibri"/>
          <w:noProof/>
        </w:rPr>
        <w:lastRenderedPageBreak/>
        <w:drawing>
          <wp:inline distT="0" distB="0" distL="0" distR="0">
            <wp:extent cx="1628775" cy="1876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28775" cy="1876425"/>
                    </a:xfrm>
                    <a:prstGeom prst="rect">
                      <a:avLst/>
                    </a:prstGeom>
                    <a:noFill/>
                    <a:ln w="9525">
                      <a:noFill/>
                      <a:miter lim="800000"/>
                      <a:headEnd/>
                      <a:tailEnd/>
                    </a:ln>
                  </pic:spPr>
                </pic:pic>
              </a:graphicData>
            </a:graphic>
          </wp:inline>
        </w:drawing>
      </w:r>
      <w:r>
        <w:rPr>
          <w:rFonts w:ascii="Calibri" w:hAnsi="Calibri" w:cs="Calibri"/>
          <w:noProof/>
        </w:rPr>
        <w:drawing>
          <wp:inline distT="0" distB="0" distL="0" distR="0">
            <wp:extent cx="1581150" cy="20288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81150" cy="2028825"/>
                    </a:xfrm>
                    <a:prstGeom prst="rect">
                      <a:avLst/>
                    </a:prstGeom>
                    <a:noFill/>
                    <a:ln w="9525">
                      <a:noFill/>
                      <a:miter lim="800000"/>
                      <a:headEnd/>
                      <a:tailEnd/>
                    </a:ln>
                  </pic:spPr>
                </pic:pic>
              </a:graphicData>
            </a:graphic>
          </wp:inline>
        </w:drawing>
      </w:r>
      <w:r>
        <w:rPr>
          <w:rFonts w:ascii="Calibri" w:hAnsi="Calibri" w:cs="Calibri"/>
          <w:noProof/>
        </w:rPr>
        <w:drawing>
          <wp:inline distT="0" distB="0" distL="0" distR="0">
            <wp:extent cx="1619250" cy="179070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619250" cy="1790700"/>
                    </a:xfrm>
                    <a:prstGeom prst="rect">
                      <a:avLst/>
                    </a:prstGeom>
                    <a:noFill/>
                    <a:ln w="9525">
                      <a:noFill/>
                      <a:miter lim="800000"/>
                      <a:headEnd/>
                      <a:tailEnd/>
                    </a:ln>
                  </pic:spPr>
                </pic:pic>
              </a:graphicData>
            </a:graphic>
          </wp:inline>
        </w:drawing>
      </w:r>
    </w:p>
    <w:p w:rsidR="00D44155" w:rsidRPr="00634983" w:rsidRDefault="00236220" w:rsidP="00D44155">
      <w:pPr>
        <w:jc w:val="center"/>
      </w:pPr>
      <w:r>
        <w:rPr>
          <w:noProof/>
        </w:rPr>
        <w:drawing>
          <wp:inline distT="0" distB="0" distL="0" distR="0">
            <wp:extent cx="1952625" cy="1847850"/>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952625" cy="1847850"/>
                    </a:xfrm>
                    <a:prstGeom prst="rect">
                      <a:avLst/>
                    </a:prstGeom>
                    <a:noFill/>
                    <a:ln w="9525">
                      <a:noFill/>
                      <a:miter lim="800000"/>
                      <a:headEnd/>
                      <a:tailEnd/>
                    </a:ln>
                  </pic:spPr>
                </pic:pic>
              </a:graphicData>
            </a:graphic>
          </wp:inline>
        </w:drawing>
      </w:r>
      <w:r>
        <w:rPr>
          <w:noProof/>
        </w:rPr>
        <w:drawing>
          <wp:inline distT="0" distB="0" distL="0" distR="0">
            <wp:extent cx="2486025" cy="1628775"/>
            <wp:effectExtent l="19050" t="0" r="952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486025" cy="1628775"/>
                    </a:xfrm>
                    <a:prstGeom prst="rect">
                      <a:avLst/>
                    </a:prstGeom>
                    <a:noFill/>
                    <a:ln w="9525">
                      <a:noFill/>
                      <a:miter lim="800000"/>
                      <a:headEnd/>
                      <a:tailEnd/>
                    </a:ln>
                  </pic:spPr>
                </pic:pic>
              </a:graphicData>
            </a:graphic>
          </wp:inline>
        </w:drawing>
      </w:r>
    </w:p>
    <w:p w:rsidR="001B344D" w:rsidRDefault="001B344D" w:rsidP="001B344D">
      <w:r>
        <w:rPr>
          <w:i/>
        </w:rPr>
        <w:t>PC</w:t>
      </w:r>
      <w:r w:rsidR="00634983">
        <w:rPr>
          <w:i/>
        </w:rPr>
        <w:t>R of Wintergreen, RFP, and the P</w:t>
      </w:r>
      <w:r>
        <w:rPr>
          <w:i/>
        </w:rPr>
        <w:t>romoter</w:t>
      </w:r>
    </w:p>
    <w:p w:rsidR="001B344D" w:rsidRDefault="001B344D" w:rsidP="009E02CC">
      <w:r>
        <w:tab/>
        <w:t xml:space="preserve">We ran two PCR reactions on our assumed WG template using different sets of primers to obtain </w:t>
      </w:r>
      <w:r w:rsidR="00AE7AB4">
        <w:t xml:space="preserve">fragments of different sizes.  The first one used the </w:t>
      </w:r>
      <w:proofErr w:type="spellStart"/>
      <w:r w:rsidR="00AE7AB4">
        <w:t>BioBrick</w:t>
      </w:r>
      <w:proofErr w:type="spellEnd"/>
      <w:r w:rsidR="00AE7AB4">
        <w:t xml:space="preserve"> standard VF and VR primers intending to amplify the region of the WG gene that extended several hundred base pairs surrounding the start and stop </w:t>
      </w:r>
      <w:proofErr w:type="spellStart"/>
      <w:r w:rsidR="00AE7AB4">
        <w:t>codons</w:t>
      </w:r>
      <w:proofErr w:type="spellEnd"/>
      <w:r w:rsidR="00AE7AB4">
        <w:t xml:space="preserve"> and including the prefix and suffix.  This produced a band 300-350bp in size. </w:t>
      </w:r>
      <w:r w:rsidR="00526EF4">
        <w:t>(Figure 9</w:t>
      </w:r>
      <w:r w:rsidR="0082765E">
        <w:t>)</w:t>
      </w:r>
      <w:r w:rsidR="00AE7AB4">
        <w:t xml:space="preserve"> The expected size was 1390bp so we decided that this was not the correct sequence.  The second PCR on WG used two 39bp forward and reverse primers (li</w:t>
      </w:r>
      <w:r w:rsidR="00A07327">
        <w:t>sted in Methods) that included</w:t>
      </w:r>
      <w:r w:rsidR="00AE7AB4">
        <w:t xml:space="preserve"> section</w:t>
      </w:r>
      <w:r w:rsidR="00A07327">
        <w:t>s</w:t>
      </w:r>
      <w:r w:rsidR="00AE7AB4">
        <w:t xml:space="preserve"> complementary to the </w:t>
      </w:r>
      <w:r w:rsidR="00A07327">
        <w:t xml:space="preserve">first and last 17bp of the WG gene and adding alternate ends containing the </w:t>
      </w:r>
      <w:proofErr w:type="spellStart"/>
      <w:r w:rsidR="00A07327">
        <w:t>BioBrick</w:t>
      </w:r>
      <w:proofErr w:type="spellEnd"/>
      <w:r w:rsidR="00A07327">
        <w:t xml:space="preserve"> standard prefix and suffix.  This was done intending to restore the possibly mutated </w:t>
      </w:r>
      <w:proofErr w:type="spellStart"/>
      <w:r w:rsidR="00A07327">
        <w:t>XbaI</w:t>
      </w:r>
      <w:proofErr w:type="spellEnd"/>
      <w:r w:rsidR="00A07327">
        <w:t xml:space="preserve"> and </w:t>
      </w:r>
      <w:proofErr w:type="spellStart"/>
      <w:r w:rsidR="00A07327">
        <w:t>SpeI</w:t>
      </w:r>
      <w:proofErr w:type="spellEnd"/>
      <w:r w:rsidR="00A07327">
        <w:t xml:space="preserve"> restriction sites that we have been unable to digest.  The PCR products were only 100bp when</w:t>
      </w:r>
      <w:r w:rsidR="0082765E">
        <w:t xml:space="preserve"> we expected them to be 1100bp.</w:t>
      </w:r>
      <w:r w:rsidR="00A07327">
        <w:t xml:space="preserve"> </w:t>
      </w:r>
      <w:r w:rsidR="00526EF4">
        <w:t>(Figure 10</w:t>
      </w:r>
      <w:r w:rsidR="0082765E">
        <w:t xml:space="preserve">) </w:t>
      </w:r>
      <w:r w:rsidR="00A07327">
        <w:t>Therefore, this has led us to believe that our WG template is very different than what we suspected.</w:t>
      </w:r>
    </w:p>
    <w:p w:rsidR="00D0500F" w:rsidRDefault="00A07327" w:rsidP="009E02CC">
      <w:r>
        <w:tab/>
      </w:r>
      <w:r w:rsidR="00645695">
        <w:t>The RFP PCR reaction that was carried out was designed very similarly to the second WG PCR reaction.  This used another set of 39bp primers with the prefix and suffix attached</w:t>
      </w:r>
      <w:r w:rsidR="008305BA">
        <w:t xml:space="preserve"> in the alternate end PCR fashion intending to restore the </w:t>
      </w:r>
      <w:proofErr w:type="spellStart"/>
      <w:r w:rsidR="008305BA">
        <w:t>XbaI</w:t>
      </w:r>
      <w:proofErr w:type="spellEnd"/>
      <w:r w:rsidR="008305BA">
        <w:t xml:space="preserve"> and </w:t>
      </w:r>
      <w:proofErr w:type="spellStart"/>
      <w:r w:rsidR="008305BA">
        <w:t>SpeI</w:t>
      </w:r>
      <w:proofErr w:type="spellEnd"/>
      <w:r w:rsidR="008305BA">
        <w:t xml:space="preserve"> sites that we needed to cut out the RFP gene and insert into our new vectors</w:t>
      </w:r>
      <w:r w:rsidR="00526EF4">
        <w:t xml:space="preserve"> (Figure 8</w:t>
      </w:r>
      <w:r w:rsidR="00D0500F">
        <w:t>)</w:t>
      </w:r>
      <w:r w:rsidR="008305BA">
        <w:t>.  The product’s expected size was confirmed by gel electrophoresis as 700bp.  We now have a workable RFP gene fragment.</w:t>
      </w:r>
      <w:r w:rsidR="00526EF4">
        <w:t xml:space="preserve"> (Figure 10</w:t>
      </w:r>
      <w:r w:rsidR="0082765E">
        <w:t>)</w:t>
      </w:r>
    </w:p>
    <w:p w:rsidR="00F91BEA" w:rsidRDefault="00F91BEA" w:rsidP="00D0500F">
      <w:pPr>
        <w:jc w:val="center"/>
      </w:pPr>
      <w:r w:rsidRPr="00F91BEA">
        <w:rPr>
          <w:noProof/>
        </w:rPr>
        <w:lastRenderedPageBreak/>
        <w:drawing>
          <wp:inline distT="0" distB="0" distL="0" distR="0">
            <wp:extent cx="4445717" cy="2019300"/>
            <wp:effectExtent l="25400" t="0" r="0" b="0"/>
            <wp:docPr id="6" name="P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445717" cy="2019300"/>
                    </a:xfrm>
                    <a:prstGeom prst="rect">
                      <a:avLst/>
                    </a:prstGeom>
                    <a:noFill/>
                    <a:ln w="9525">
                      <a:noFill/>
                      <a:miter lim="800000"/>
                      <a:headEnd/>
                      <a:tailEnd/>
                    </a:ln>
                  </pic:spPr>
                </pic:pic>
              </a:graphicData>
            </a:graphic>
          </wp:inline>
        </w:drawing>
      </w:r>
    </w:p>
    <w:p w:rsidR="00A07327" w:rsidRPr="00F91BEA" w:rsidRDefault="00F91BEA" w:rsidP="00D0500F">
      <w:pPr>
        <w:jc w:val="center"/>
      </w:pPr>
      <w:r>
        <w:rPr>
          <w:b/>
        </w:rPr>
        <w:t xml:space="preserve">Figure </w:t>
      </w:r>
      <w:r w:rsidR="00236220">
        <w:rPr>
          <w:b/>
        </w:rPr>
        <w:t>8</w:t>
      </w:r>
      <w:r>
        <w:rPr>
          <w:b/>
        </w:rPr>
        <w:t>:</w:t>
      </w:r>
      <w:r>
        <w:t xml:space="preserve"> Alternate-end priming strategy for J61002 to amplify only the RFP gene fragment with the </w:t>
      </w:r>
      <w:proofErr w:type="spellStart"/>
      <w:r>
        <w:t>BioBrick</w:t>
      </w:r>
      <w:proofErr w:type="spellEnd"/>
      <w:r>
        <w:t xml:space="preserve"> prefix and suffix attached.</w:t>
      </w:r>
    </w:p>
    <w:p w:rsidR="008305BA" w:rsidRDefault="008305BA" w:rsidP="009E02CC">
      <w:r>
        <w:tab/>
        <w:t xml:space="preserve">The reactions used to isolate a promoter also used the </w:t>
      </w:r>
      <w:proofErr w:type="spellStart"/>
      <w:r>
        <w:t>BioBrick</w:t>
      </w:r>
      <w:proofErr w:type="spellEnd"/>
      <w:r>
        <w:t xml:space="preserve"> VF and VR primers to amplify products for the two different promoter types: 387bp for the </w:t>
      </w:r>
      <w:proofErr w:type="spellStart"/>
      <w:r>
        <w:t>arabinose</w:t>
      </w:r>
      <w:proofErr w:type="spellEnd"/>
      <w:r>
        <w:t xml:space="preserve">-induced promoter (R0080) and 438bp for the </w:t>
      </w:r>
      <w:proofErr w:type="spellStart"/>
      <w:r w:rsidR="003805EE">
        <w:t>lac</w:t>
      </w:r>
      <w:proofErr w:type="spellEnd"/>
      <w:r w:rsidR="003805EE">
        <w:t xml:space="preserve"> repressible promoter (R0010).  This reaction failed to produce any product as no band was observed when assayed by gel electrophoresis (results not shown).</w:t>
      </w:r>
    </w:p>
    <w:p w:rsidR="00D44155" w:rsidRPr="001B344D" w:rsidRDefault="00236220" w:rsidP="00D44155">
      <w:pPr>
        <w:jc w:val="center"/>
      </w:pPr>
      <w:r>
        <w:rPr>
          <w:noProof/>
        </w:rPr>
        <w:drawing>
          <wp:inline distT="0" distB="0" distL="0" distR="0">
            <wp:extent cx="1990725" cy="1800225"/>
            <wp:effectExtent l="19050" t="0" r="9525"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990725" cy="1800225"/>
                    </a:xfrm>
                    <a:prstGeom prst="rect">
                      <a:avLst/>
                    </a:prstGeom>
                    <a:noFill/>
                    <a:ln w="9525">
                      <a:noFill/>
                      <a:miter lim="800000"/>
                      <a:headEnd/>
                      <a:tailEnd/>
                    </a:ln>
                  </pic:spPr>
                </pic:pic>
              </a:graphicData>
            </a:graphic>
          </wp:inline>
        </w:drawing>
      </w:r>
      <w:r>
        <w:rPr>
          <w:noProof/>
        </w:rPr>
        <w:drawing>
          <wp:inline distT="0" distB="0" distL="0" distR="0">
            <wp:extent cx="2200275" cy="1895475"/>
            <wp:effectExtent l="19050" t="0" r="9525"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200275" cy="1895475"/>
                    </a:xfrm>
                    <a:prstGeom prst="rect">
                      <a:avLst/>
                    </a:prstGeom>
                    <a:noFill/>
                    <a:ln w="9525">
                      <a:noFill/>
                      <a:miter lim="800000"/>
                      <a:headEnd/>
                      <a:tailEnd/>
                    </a:ln>
                  </pic:spPr>
                </pic:pic>
              </a:graphicData>
            </a:graphic>
          </wp:inline>
        </w:drawing>
      </w:r>
    </w:p>
    <w:p w:rsidR="00AD78DB" w:rsidRPr="00AD78DB" w:rsidRDefault="00AD78DB" w:rsidP="00AD78DB">
      <w:pPr>
        <w:spacing w:before="100" w:beforeAutospacing="1" w:after="100" w:afterAutospacing="1" w:line="240" w:lineRule="auto"/>
        <w:rPr>
          <w:bCs/>
          <w:i/>
        </w:rPr>
      </w:pPr>
      <w:r>
        <w:rPr>
          <w:bCs/>
          <w:i/>
        </w:rPr>
        <w:t>Final ligation of Pro-RFP device</w:t>
      </w:r>
      <w:r w:rsidR="00B339DB">
        <w:rPr>
          <w:bCs/>
          <w:i/>
        </w:rPr>
        <w:t xml:space="preserve">, </w:t>
      </w:r>
      <w:r w:rsidR="003C2987">
        <w:rPr>
          <w:bCs/>
          <w:i/>
        </w:rPr>
        <w:t>transformation,</w:t>
      </w:r>
      <w:r>
        <w:rPr>
          <w:bCs/>
          <w:i/>
        </w:rPr>
        <w:t xml:space="preserve"> and resulting plates</w:t>
      </w:r>
    </w:p>
    <w:p w:rsidR="00A75866" w:rsidRDefault="00A75866" w:rsidP="009E02CC">
      <w:pPr>
        <w:ind w:firstLine="720"/>
      </w:pPr>
      <w:r>
        <w:t xml:space="preserve">To </w:t>
      </w:r>
      <w:proofErr w:type="spellStart"/>
      <w:r>
        <w:t>ligate</w:t>
      </w:r>
      <w:proofErr w:type="spellEnd"/>
      <w:r>
        <w:t xml:space="preserve"> our device parts together, we dige</w:t>
      </w:r>
      <w:r w:rsidR="00526EF4">
        <w:t>sted the RFP PCR product (Figure 10</w:t>
      </w:r>
      <w:r>
        <w:t xml:space="preserve">) with </w:t>
      </w:r>
      <w:proofErr w:type="spellStart"/>
      <w:r>
        <w:t>XbaI</w:t>
      </w:r>
      <w:proofErr w:type="spellEnd"/>
      <w:r>
        <w:t xml:space="preserve"> and </w:t>
      </w:r>
      <w:proofErr w:type="spellStart"/>
      <w:r>
        <w:t>PstI</w:t>
      </w:r>
      <w:proofErr w:type="spellEnd"/>
      <w:r>
        <w:t xml:space="preserve"> and digested the </w:t>
      </w:r>
      <w:proofErr w:type="spellStart"/>
      <w:r>
        <w:t>lac</w:t>
      </w:r>
      <w:proofErr w:type="spellEnd"/>
      <w:r>
        <w:t xml:space="preserve"> repressible promoter plasmid with </w:t>
      </w:r>
      <w:proofErr w:type="spellStart"/>
      <w:r>
        <w:t>SpeI</w:t>
      </w:r>
      <w:proofErr w:type="spellEnd"/>
      <w:r>
        <w:t xml:space="preserve"> and </w:t>
      </w:r>
      <w:proofErr w:type="spellStart"/>
      <w:r>
        <w:t>PstI</w:t>
      </w:r>
      <w:proofErr w:type="spellEnd"/>
      <w:r>
        <w:t xml:space="preserve">.  We then removed the restriction enzymes with a PCR purification kit and </w:t>
      </w:r>
      <w:proofErr w:type="spellStart"/>
      <w:r>
        <w:t>ligated</w:t>
      </w:r>
      <w:proofErr w:type="spellEnd"/>
      <w:r>
        <w:t xml:space="preserve"> these together, crossing part samples to make multiple ligation reactions.</w:t>
      </w:r>
    </w:p>
    <w:p w:rsidR="001B344D" w:rsidRPr="00AD78DB" w:rsidRDefault="00AD78DB" w:rsidP="009E02CC">
      <w:pPr>
        <w:ind w:firstLine="720"/>
      </w:pPr>
      <w:r>
        <w:t xml:space="preserve">We </w:t>
      </w:r>
      <w:r w:rsidR="00A75866">
        <w:t>attempted to gro</w:t>
      </w:r>
      <w:r>
        <w:t xml:space="preserve">w </w:t>
      </w:r>
      <w:r w:rsidR="00A75866">
        <w:t>Pro-RFP</w:t>
      </w:r>
      <w:r w:rsidR="003C2987">
        <w:t xml:space="preserve"> colonies on</w:t>
      </w:r>
      <w:r>
        <w:t xml:space="preserve"> 8 plates with </w:t>
      </w:r>
      <w:r w:rsidR="003C2987">
        <w:t>different concentrations of ligation solution transformed into the cells</w:t>
      </w:r>
      <w:r>
        <w:t xml:space="preserve">. We also did a positive </w:t>
      </w:r>
      <w:r w:rsidR="003C2987">
        <w:t>(</w:t>
      </w:r>
      <w:proofErr w:type="spellStart"/>
      <w:r w:rsidR="003C2987">
        <w:t>pBluescript</w:t>
      </w:r>
      <w:proofErr w:type="spellEnd"/>
      <w:r w:rsidR="003C2987">
        <w:t xml:space="preserve">-transformed) </w:t>
      </w:r>
      <w:r>
        <w:t>and a negative</w:t>
      </w:r>
      <w:r w:rsidR="003C2987">
        <w:t xml:space="preserve"> (</w:t>
      </w:r>
      <w:proofErr w:type="spellStart"/>
      <w:r w:rsidR="003C2987">
        <w:t>nontransformed</w:t>
      </w:r>
      <w:proofErr w:type="spellEnd"/>
      <w:r w:rsidR="003C2987">
        <w:t>)</w:t>
      </w:r>
      <w:r>
        <w:t xml:space="preserve"> control. Very few colonies grew</w:t>
      </w:r>
      <w:r w:rsidR="003C2987">
        <w:t xml:space="preserve"> in each</w:t>
      </w:r>
      <w:r>
        <w:t xml:space="preserve"> </w:t>
      </w:r>
      <w:r w:rsidR="003C2987">
        <w:t xml:space="preserve">Pro-RFP </w:t>
      </w:r>
      <w:r>
        <w:t>plate, most of them standard yellow in color.</w:t>
      </w:r>
      <w:r w:rsidR="009E02CC">
        <w:t xml:space="preserve"> </w:t>
      </w:r>
      <w:r>
        <w:t xml:space="preserve"> The positive control was almost completely covered in colonies while the negative control had few.</w:t>
      </w:r>
      <w:r w:rsidR="009E02CC">
        <w:t xml:space="preserve">  </w:t>
      </w:r>
      <w:r w:rsidR="009B23C5">
        <w:t>Only one plate had a very small red-colored colony</w:t>
      </w:r>
      <w:r w:rsidR="009E02CC">
        <w:t xml:space="preserve">.  </w:t>
      </w:r>
      <w:r w:rsidR="009B23C5">
        <w:t>We used this colony to streak a new plate which, after overnight incubation, produced a similar streak of bright pink E. coli colonies</w:t>
      </w:r>
    </w:p>
    <w:p w:rsidR="00197D34" w:rsidRDefault="00135587" w:rsidP="001B344D">
      <w:r>
        <w:lastRenderedPageBreak/>
        <w:tab/>
        <w:t xml:space="preserve">Now that we have achieved a working Pro-RFP device of our own, we decided to experiment with inducing and repressing expression of this RFP gene by </w:t>
      </w:r>
      <w:proofErr w:type="spellStart"/>
      <w:r>
        <w:t>stimultating</w:t>
      </w:r>
      <w:proofErr w:type="spellEnd"/>
      <w:r>
        <w:t xml:space="preserve"> the </w:t>
      </w:r>
      <w:proofErr w:type="spellStart"/>
      <w:r>
        <w:t>lacI</w:t>
      </w:r>
      <w:proofErr w:type="spellEnd"/>
      <w:r>
        <w:t xml:space="preserve"> promoter that we used.  Since this is the same promoter as the one that controls the regular E. coli </w:t>
      </w:r>
      <w:proofErr w:type="spellStart"/>
      <w:r>
        <w:t>lac</w:t>
      </w:r>
      <w:proofErr w:type="spellEnd"/>
      <w:r>
        <w:t xml:space="preserve"> </w:t>
      </w:r>
      <w:proofErr w:type="spellStart"/>
      <w:r>
        <w:t>operon</w:t>
      </w:r>
      <w:proofErr w:type="spellEnd"/>
      <w:r>
        <w:t>, we assumed that</w:t>
      </w:r>
      <w:r w:rsidR="00B2201A">
        <w:t xml:space="preserve"> it would respond to different nutritional conditions similarly.  When a high level of glucose is present in E. coli, lactose-hydrolyzing enzymes of the </w:t>
      </w:r>
      <w:proofErr w:type="spellStart"/>
      <w:r w:rsidR="00B2201A">
        <w:t>lac</w:t>
      </w:r>
      <w:proofErr w:type="spellEnd"/>
      <w:r w:rsidR="00B2201A">
        <w:t xml:space="preserve"> </w:t>
      </w:r>
      <w:proofErr w:type="spellStart"/>
      <w:r w:rsidR="00B2201A">
        <w:t>operon</w:t>
      </w:r>
      <w:proofErr w:type="spellEnd"/>
      <w:r w:rsidR="00B2201A">
        <w:t xml:space="preserve"> are prevented from being expressed by repression of the </w:t>
      </w:r>
      <w:proofErr w:type="spellStart"/>
      <w:r w:rsidR="00B2201A">
        <w:t>lacI</w:t>
      </w:r>
      <w:proofErr w:type="spellEnd"/>
      <w:r w:rsidR="00B2201A">
        <w:t xml:space="preserve"> promoter.  Inversely, presence of IPTG (</w:t>
      </w:r>
      <w:r w:rsidR="004F2532" w:rsidRPr="004F2532">
        <w:t>Isopropyl β-D-1-thiogalactopyranoside</w:t>
      </w:r>
      <w:r w:rsidR="004F2532">
        <w:t xml:space="preserve">) </w:t>
      </w:r>
      <w:r w:rsidR="00B2201A">
        <w:t xml:space="preserve">represses the </w:t>
      </w:r>
      <w:proofErr w:type="spellStart"/>
      <w:r w:rsidR="00B2201A">
        <w:t>lac</w:t>
      </w:r>
      <w:proofErr w:type="spellEnd"/>
      <w:r w:rsidR="00B2201A">
        <w:t xml:space="preserve"> repressor, acting as a sort of inducer.  We experimented with different concentrations of both glucose and IPTG</w:t>
      </w:r>
      <w:r w:rsidR="004F2532">
        <w:t xml:space="preserve"> being added to liquid cultures grown from Pro-RFP plates.</w:t>
      </w:r>
      <w:r w:rsidR="00197D34">
        <w:t xml:space="preserve">  Only the culture with the most amount of glucose added (300ul) showed any decrease in red coloring compared to the other cultures:</w:t>
      </w:r>
      <w:r w:rsidR="00197D34" w:rsidRPr="00197D34">
        <w:rPr>
          <w:noProof/>
        </w:rPr>
        <w:t xml:space="preserve"> </w:t>
      </w:r>
    </w:p>
    <w:p w:rsidR="00197D34" w:rsidRDefault="00197D34" w:rsidP="00870973">
      <w:pPr>
        <w:spacing w:line="240" w:lineRule="auto"/>
        <w:jc w:val="center"/>
      </w:pPr>
      <w:r w:rsidRPr="00197D34">
        <w:rPr>
          <w:noProof/>
        </w:rPr>
        <w:drawing>
          <wp:inline distT="0" distB="0" distL="0" distR="0">
            <wp:extent cx="3467100" cy="2311402"/>
            <wp:effectExtent l="25400" t="0" r="0" b="0"/>
            <wp:docPr id="4" name="Picture 1" descr=":Picture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003.jpg"/>
                    <pic:cNvPicPr>
                      <a:picLocks noChangeAspect="1" noChangeArrowheads="1"/>
                    </pic:cNvPicPr>
                  </pic:nvPicPr>
                  <pic:blipFill>
                    <a:blip r:embed="rId14" cstate="print"/>
                    <a:srcRect/>
                    <a:stretch>
                      <a:fillRect/>
                    </a:stretch>
                  </pic:blipFill>
                  <pic:spPr bwMode="auto">
                    <a:xfrm>
                      <a:off x="0" y="0"/>
                      <a:ext cx="3474465" cy="2316312"/>
                    </a:xfrm>
                    <a:prstGeom prst="rect">
                      <a:avLst/>
                    </a:prstGeom>
                    <a:noFill/>
                    <a:ln w="9525">
                      <a:noFill/>
                      <a:miter lim="800000"/>
                      <a:headEnd/>
                      <a:tailEnd/>
                    </a:ln>
                  </pic:spPr>
                </pic:pic>
              </a:graphicData>
            </a:graphic>
          </wp:inline>
        </w:drawing>
      </w:r>
    </w:p>
    <w:p w:rsidR="00870973" w:rsidRDefault="00870973" w:rsidP="00870973">
      <w:pPr>
        <w:spacing w:line="240" w:lineRule="auto"/>
        <w:jc w:val="center"/>
      </w:pPr>
      <w:r>
        <w:rPr>
          <w:b/>
        </w:rPr>
        <w:t xml:space="preserve">Figure </w:t>
      </w:r>
      <w:r w:rsidR="00236220">
        <w:rPr>
          <w:b/>
        </w:rPr>
        <w:t>11</w:t>
      </w:r>
      <w:r>
        <w:rPr>
          <w:b/>
        </w:rPr>
        <w:t>:</w:t>
      </w:r>
      <w:r>
        <w:t xml:space="preserve"> Liquid cultures with differing levels of glucose and IPTG added</w:t>
      </w:r>
    </w:p>
    <w:p w:rsidR="00135587" w:rsidRPr="00870973" w:rsidRDefault="00870973" w:rsidP="00870973">
      <w:pPr>
        <w:spacing w:line="360" w:lineRule="auto"/>
        <w:jc w:val="center"/>
      </w:pPr>
      <w:r>
        <w:t>Tube #1: 300ul glucose; #2: 30ul glucose; #3: control; #4: 5ul IPTG; #5: 50ul IPTG</w:t>
      </w:r>
    </w:p>
    <w:p w:rsidR="001B344D" w:rsidRDefault="001B344D" w:rsidP="001B344D">
      <w:pPr>
        <w:rPr>
          <w:b/>
          <w:u w:val="single"/>
        </w:rPr>
      </w:pPr>
      <w:r>
        <w:rPr>
          <w:b/>
          <w:u w:val="single"/>
        </w:rPr>
        <w:t>Discussion</w:t>
      </w:r>
    </w:p>
    <w:p w:rsidR="00D574D0" w:rsidRDefault="004E05B4" w:rsidP="009E02CC">
      <w:pPr>
        <w:ind w:firstLine="720"/>
      </w:pPr>
      <w:r>
        <w:t xml:space="preserve">We initially had problems with some of the bacterial agar plates that contained our </w:t>
      </w:r>
      <w:r w:rsidR="009B25E5">
        <w:t xml:space="preserve">separate </w:t>
      </w:r>
      <w:proofErr w:type="spellStart"/>
      <w:r>
        <w:t>BioBrick</w:t>
      </w:r>
      <w:proofErr w:type="spellEnd"/>
      <w:r>
        <w:t xml:space="preserve"> parts transformed into E. coli.  Only E. coli transformed with plasmids which contained the wintergreen or GFP gene grew.  The very first promoter we attempted to harvest failed to produce colonies on any of </w:t>
      </w:r>
      <w:r w:rsidR="004F531D">
        <w:t>the four plates we inoculated.</w:t>
      </w:r>
      <w:r w:rsidR="009B25E5">
        <w:t xml:space="preserve">  One possible reason for the lack of growth is that the paper punches that we used to obtain the part from the physical 2008 registry might not have actually contained any DNA.  The spot on the paper already had some holes punched out from last year so we were forced to punch out the edges.</w:t>
      </w:r>
      <w:r w:rsidR="004F531D">
        <w:t xml:space="preserve">  The main difference between these three parts (WG, GFP, and promoter) relevant to selectively growing bacteria is the different antibiotic resistance </w:t>
      </w:r>
      <w:r w:rsidR="00126263">
        <w:t xml:space="preserve">genes </w:t>
      </w:r>
      <w:r w:rsidR="004F531D">
        <w:t xml:space="preserve">provided by the transforming vectors which contained these inserts.  Every plasmid we worked with required </w:t>
      </w:r>
      <w:proofErr w:type="spellStart"/>
      <w:r w:rsidR="004F531D">
        <w:t>ampicillin</w:t>
      </w:r>
      <w:proofErr w:type="spellEnd"/>
      <w:r w:rsidR="004F531D">
        <w:t xml:space="preserve"> in the media except for the first </w:t>
      </w:r>
      <w:proofErr w:type="spellStart"/>
      <w:r w:rsidR="004F531D">
        <w:t>arabinose</w:t>
      </w:r>
      <w:proofErr w:type="spellEnd"/>
      <w:r w:rsidR="004F531D">
        <w:t xml:space="preserve">-inducible promoter (I0500), which required </w:t>
      </w:r>
      <w:proofErr w:type="spellStart"/>
      <w:r w:rsidR="004F531D">
        <w:t>kanamycin</w:t>
      </w:r>
      <w:proofErr w:type="spellEnd"/>
      <w:r w:rsidR="004F531D">
        <w:t>.  If the bacteria that were</w:t>
      </w:r>
      <w:r w:rsidR="009B25E5">
        <w:t xml:space="preserve"> plated on these antibiotics did not have this </w:t>
      </w:r>
      <w:r w:rsidR="004F531D">
        <w:t xml:space="preserve">plasmid with the resistance gene transformed into them, it should have been impossible for them to grow.  The negative control plate containing </w:t>
      </w:r>
      <w:proofErr w:type="spellStart"/>
      <w:r w:rsidR="004F531D">
        <w:t>kanamycin</w:t>
      </w:r>
      <w:proofErr w:type="spellEnd"/>
      <w:r w:rsidR="004F531D">
        <w:t xml:space="preserve"> with bacteria that was purposely not transformed with any plasmid </w:t>
      </w:r>
      <w:r w:rsidR="004F531D">
        <w:lastRenderedPageBreak/>
        <w:t xml:space="preserve">didn’t have any colonies growing while one of the negative control plates that used </w:t>
      </w:r>
      <w:proofErr w:type="spellStart"/>
      <w:r w:rsidR="004F531D">
        <w:t>ampicillin</w:t>
      </w:r>
      <w:proofErr w:type="spellEnd"/>
      <w:r w:rsidR="004F531D">
        <w:t xml:space="preserve"> did have a few grow.  This fact points to the potency of the </w:t>
      </w:r>
      <w:proofErr w:type="spellStart"/>
      <w:r w:rsidR="004F531D">
        <w:t>kanamycin</w:t>
      </w:r>
      <w:proofErr w:type="spellEnd"/>
      <w:r w:rsidR="004F531D">
        <w:t xml:space="preserve"> as another poss</w:t>
      </w:r>
      <w:r w:rsidR="00D574D0">
        <w:t xml:space="preserve">ible contributing factor.  This problem quickly ceased to matter, however, after we obtained another promoter through the Spring 09 Onion group’s glycerol stocks since </w:t>
      </w:r>
      <w:r w:rsidR="00126263">
        <w:t xml:space="preserve">it and </w:t>
      </w:r>
      <w:r w:rsidR="00D574D0">
        <w:t xml:space="preserve">every other part we worked with used </w:t>
      </w:r>
      <w:proofErr w:type="spellStart"/>
      <w:r w:rsidR="00D574D0">
        <w:t>ampicillin</w:t>
      </w:r>
      <w:proofErr w:type="spellEnd"/>
      <w:r w:rsidR="00D574D0">
        <w:t>.</w:t>
      </w:r>
    </w:p>
    <w:p w:rsidR="001B344D" w:rsidRDefault="00F00CD3" w:rsidP="009E02CC">
      <w:r>
        <w:tab/>
        <w:t xml:space="preserve">Another problem that’s very confusing because of the antibiotic resistance issue is that we could never seem able to isolate any plasmid DNA from our GFP colonies.  Four out of six GFP plates with “transformed” bacteria grew colonies with a few plates that had well over a hundred.  Every plasmid isolation </w:t>
      </w:r>
      <w:proofErr w:type="spellStart"/>
      <w:r>
        <w:t>miniprep</w:t>
      </w:r>
      <w:proofErr w:type="spellEnd"/>
      <w:r>
        <w:t xml:space="preserve"> we attempted on liquid cultures grown from a large sampling </w:t>
      </w:r>
      <w:r w:rsidR="00252FD6">
        <w:t xml:space="preserve">(21 colonies) </w:t>
      </w:r>
      <w:r>
        <w:t>of these plates</w:t>
      </w:r>
      <w:r w:rsidR="006A782D">
        <w:t xml:space="preserve"> failed to yield any DNA.  If these bacteria lacked the plasmid which contained </w:t>
      </w:r>
      <w:proofErr w:type="spellStart"/>
      <w:r w:rsidR="006A782D">
        <w:t>ampicillin</w:t>
      </w:r>
      <w:proofErr w:type="spellEnd"/>
      <w:r w:rsidR="006A782D">
        <w:t xml:space="preserve"> resistance, they should h</w:t>
      </w:r>
      <w:r w:rsidR="00252FD6">
        <w:t>ave been prevented from growing</w:t>
      </w:r>
      <w:r w:rsidR="00126263">
        <w:t>,</w:t>
      </w:r>
      <w:r w:rsidR="006A782D">
        <w:t xml:space="preserve"> much less thriving like they did.</w:t>
      </w:r>
      <w:r w:rsidR="00306DEA">
        <w:t xml:space="preserve">  This </w:t>
      </w:r>
      <w:r w:rsidR="00252FD6">
        <w:t>again is possibly a matter involving</w:t>
      </w:r>
      <w:r w:rsidR="00306DEA">
        <w:t xml:space="preserve"> the potency of the antibiotics.  The specific stock of </w:t>
      </w:r>
      <w:proofErr w:type="spellStart"/>
      <w:r w:rsidR="00306DEA">
        <w:t>ampicillin</w:t>
      </w:r>
      <w:proofErr w:type="spellEnd"/>
      <w:r w:rsidR="00306DEA">
        <w:t xml:space="preserve"> we used could have been </w:t>
      </w:r>
      <w:r w:rsidR="00CC142B">
        <w:t xml:space="preserve">either </w:t>
      </w:r>
      <w:r w:rsidR="00306DEA">
        <w:t>bad or diluted</w:t>
      </w:r>
      <w:r w:rsidR="00252FD6">
        <w:t xml:space="preserve"> allowing for unobstructed growth of non-transformed bacteria</w:t>
      </w:r>
      <w:r w:rsidR="00306DEA">
        <w:t>.</w:t>
      </w:r>
      <w:r w:rsidR="00CC142B">
        <w:t xml:space="preserve">  This problem</w:t>
      </w:r>
      <w:r w:rsidR="00252FD6">
        <w:t xml:space="preserve"> could have then been coupled with </w:t>
      </w:r>
      <w:r w:rsidR="00126263">
        <w:t>the lack of DNA</w:t>
      </w:r>
      <w:r w:rsidR="00252FD6">
        <w:t xml:space="preserve"> from the paper punches</w:t>
      </w:r>
      <w:r w:rsidR="005A57DF">
        <w:t>/dry wells</w:t>
      </w:r>
      <w:r w:rsidR="00252FD6">
        <w:t xml:space="preserve"> that we used</w:t>
      </w:r>
      <w:r w:rsidR="00126263">
        <w:t xml:space="preserve"> from the registries to ensure that no colonies contained any plasmid.</w:t>
      </w:r>
    </w:p>
    <w:p w:rsidR="00CC142B" w:rsidRPr="005465E1" w:rsidRDefault="00CC142B" w:rsidP="009E02CC">
      <w:r>
        <w:tab/>
        <w:t>Concerning these bacterial plate issues, I would lean more towards faulting the physical registry lacking the DNA rather than any antibiotics causing these problem</w:t>
      </w:r>
      <w:r w:rsidR="00364499">
        <w:t>s.  However, t</w:t>
      </w:r>
      <w:r w:rsidR="00066998">
        <w:t>wo things we could have done to improve chances of extrac</w:t>
      </w:r>
      <w:r w:rsidR="0034046C">
        <w:t>tion from the paper punches is</w:t>
      </w:r>
      <w:r w:rsidR="00066998">
        <w:t xml:space="preserve"> preheat</w:t>
      </w:r>
      <w:r w:rsidR="0034046C">
        <w:t>ing</w:t>
      </w:r>
      <w:r w:rsidR="00066998">
        <w:t xml:space="preserve"> the TE buffer used and centrifuging them down.</w:t>
      </w:r>
    </w:p>
    <w:p w:rsidR="00364499" w:rsidRDefault="00364499" w:rsidP="009E02CC">
      <w:r>
        <w:tab/>
        <w:t xml:space="preserve">Another mistake we made </w:t>
      </w:r>
      <w:r w:rsidR="00E43957">
        <w:t xml:space="preserve">was using the TBE buffer </w:t>
      </w:r>
      <w:r w:rsidR="009D7B28">
        <w:t>(</w:t>
      </w:r>
      <w:r w:rsidR="00E43957">
        <w:t>usually intended for gel electrophoresis</w:t>
      </w:r>
      <w:r w:rsidR="009D7B28">
        <w:t>) in our first few restriction digests</w:t>
      </w:r>
      <w:r w:rsidR="00E5576F">
        <w:t xml:space="preserve"> instead of the required </w:t>
      </w:r>
      <w:proofErr w:type="spellStart"/>
      <w:r w:rsidR="00E5576F">
        <w:t>Fermentas</w:t>
      </w:r>
      <w:proofErr w:type="spellEnd"/>
      <w:r w:rsidR="00E5576F">
        <w:t xml:space="preserve"> </w:t>
      </w:r>
      <w:proofErr w:type="spellStart"/>
      <w:r w:rsidR="00E5576F">
        <w:t>FastDigest</w:t>
      </w:r>
      <w:proofErr w:type="spellEnd"/>
      <w:r w:rsidR="00E5576F">
        <w:t xml:space="preserve"> buffer</w:t>
      </w:r>
      <w:r w:rsidR="00257073">
        <w:t xml:space="preserve">.  TBE consists of a chemical composition unsuitable for restriction digestion and thus inhibits the reaction.  Reviewing our experiments, however, this only affected the digestion of the </w:t>
      </w:r>
      <w:proofErr w:type="spellStart"/>
      <w:r w:rsidR="00257073">
        <w:t>arabinose</w:t>
      </w:r>
      <w:proofErr w:type="spellEnd"/>
      <w:r w:rsidR="00257073">
        <w:t>-inducible promoter noted in the Results section and we were later able to correct this.</w:t>
      </w:r>
    </w:p>
    <w:p w:rsidR="0034046C" w:rsidRDefault="0034046C" w:rsidP="009E02CC">
      <w:r>
        <w:tab/>
      </w:r>
      <w:r w:rsidR="00AD5EE9">
        <w:t xml:space="preserve">The largest source of frustration in the project was most likely the DNA that we obtained from our wintergreen colonies.  </w:t>
      </w:r>
      <w:proofErr w:type="gramStart"/>
      <w:r w:rsidR="00AD5EE9">
        <w:t>Every plasmid isolation</w:t>
      </w:r>
      <w:proofErr w:type="gramEnd"/>
      <w:r w:rsidR="00AD5EE9">
        <w:t xml:space="preserve"> that yielded DNA was of the same size (~1500bp), but when digested with </w:t>
      </w:r>
      <w:proofErr w:type="spellStart"/>
      <w:r w:rsidR="00AD5EE9">
        <w:t>EcoRI</w:t>
      </w:r>
      <w:proofErr w:type="spellEnd"/>
      <w:r w:rsidR="00AD5EE9">
        <w:t xml:space="preserve"> and </w:t>
      </w:r>
      <w:proofErr w:type="spellStart"/>
      <w:r w:rsidR="00AD5EE9">
        <w:t>PstI</w:t>
      </w:r>
      <w:proofErr w:type="spellEnd"/>
      <w:r w:rsidR="00AD5EE9">
        <w:t xml:space="preserve"> would produce two fragments: a 1400bp fragment and a 700</w:t>
      </w:r>
      <w:r w:rsidR="00526EF4">
        <w:t>bp fragment (Figure 5</w:t>
      </w:r>
      <w:r w:rsidR="00AD5EE9">
        <w:t xml:space="preserve">).  Furthermore, </w:t>
      </w:r>
      <w:proofErr w:type="spellStart"/>
      <w:r w:rsidR="00AD5EE9">
        <w:t>XbaI</w:t>
      </w:r>
      <w:proofErr w:type="spellEnd"/>
      <w:r w:rsidR="00AD5EE9">
        <w:t xml:space="preserve"> and </w:t>
      </w:r>
      <w:proofErr w:type="spellStart"/>
      <w:r w:rsidR="00AD5EE9">
        <w:t>SpeI</w:t>
      </w:r>
      <w:proofErr w:type="spellEnd"/>
      <w:r w:rsidR="00AD5EE9">
        <w:t xml:space="preserve"> sites appeared to be missing since these enzymes would cut other parts like the promoter and RFP of our resulting plasmid but could not cut WG.  Regardless of this DNA’s apparent ability to morph sizes </w:t>
      </w:r>
      <w:r w:rsidR="000D1E93">
        <w:t xml:space="preserve">when digested, these sizes were nowhere near the sizes listed in the parts registry: 1074bp for the WG insert and 2157bp for the plasmid backbone making a 3231bp complete fragment.  The only thing similar to this fragment was the rough insert: plasmid size ratio of 1:2.  </w:t>
      </w:r>
      <w:r w:rsidR="00197D34">
        <w:t xml:space="preserve">When we tried to restore the normal </w:t>
      </w:r>
      <w:proofErr w:type="spellStart"/>
      <w:r w:rsidR="00197D34">
        <w:t>BioBrick</w:t>
      </w:r>
      <w:proofErr w:type="spellEnd"/>
      <w:r w:rsidR="00197D34">
        <w:t xml:space="preserve"> prefix and suffix by using alternate-end PCR, we got a ver</w:t>
      </w:r>
      <w:r w:rsidR="00526EF4">
        <w:t>y faint band of ~100bp (Figure 10</w:t>
      </w:r>
      <w:r w:rsidR="00197D34">
        <w:t xml:space="preserve">).  Perhaps one of the primers was able to stay annealed to the template long enough each cycle for some DNA to be synthesized.  It would have been nice to digest the remainder of this product with </w:t>
      </w:r>
      <w:proofErr w:type="spellStart"/>
      <w:r w:rsidR="00197D34">
        <w:t>EcoRI</w:t>
      </w:r>
      <w:proofErr w:type="spellEnd"/>
      <w:r w:rsidR="00197D34">
        <w:t xml:space="preserve"> or </w:t>
      </w:r>
      <w:proofErr w:type="spellStart"/>
      <w:r w:rsidR="00197D34">
        <w:t>PstI</w:t>
      </w:r>
      <w:proofErr w:type="spellEnd"/>
      <w:r w:rsidR="00197D34">
        <w:t xml:space="preserve"> to see which primer was possibly responsible for this.  However, we ended up throwing the sample out immediately after getting these results.</w:t>
      </w:r>
    </w:p>
    <w:p w:rsidR="0012147D" w:rsidRDefault="0034046C" w:rsidP="00B2201A">
      <w:pPr>
        <w:ind w:firstLine="720"/>
      </w:pPr>
      <w:r>
        <w:lastRenderedPageBreak/>
        <w:t xml:space="preserve">When we eventually realized that we’d never be able to extract GFP DNA from the </w:t>
      </w:r>
      <w:proofErr w:type="spellStart"/>
      <w:r>
        <w:t>BioBricks</w:t>
      </w:r>
      <w:proofErr w:type="spellEnd"/>
      <w:r>
        <w:t xml:space="preserve"> registry we were in need of some kind of assay for recombination and to overall make our device a little more interesting.  Dr. </w:t>
      </w:r>
      <w:proofErr w:type="spellStart"/>
      <w:r>
        <w:t>Schwekendiek</w:t>
      </w:r>
      <w:proofErr w:type="spellEnd"/>
      <w:r>
        <w:t xml:space="preserve"> luckily provided us with four liquid cultures containing</w:t>
      </w:r>
      <w:r w:rsidR="009E5F2D">
        <w:t xml:space="preserve"> plasmids with an RFP gene.  After multiple digestions, we were running into almost the same problem we had with WG: the </w:t>
      </w:r>
      <w:proofErr w:type="spellStart"/>
      <w:r w:rsidR="009E5F2D">
        <w:t>SpeI</w:t>
      </w:r>
      <w:proofErr w:type="spellEnd"/>
      <w:r w:rsidR="009E5F2D">
        <w:t xml:space="preserve"> site appeared to be removed.  </w:t>
      </w:r>
      <w:r w:rsidR="00074FFC">
        <w:t>We consulted</w:t>
      </w:r>
      <w:r w:rsidR="009E5F2D">
        <w:t xml:space="preserve"> the parts registry entry for </w:t>
      </w:r>
      <w:r w:rsidR="00074FFC">
        <w:t>RFP (</w:t>
      </w:r>
      <w:r w:rsidR="009E5F2D">
        <w:t>J</w:t>
      </w:r>
      <w:r w:rsidR="00074FFC">
        <w:t xml:space="preserve">61002) and discovered that it was actually the regular RFP part (E1010) inserted into a vector device with a tetracycline-repressible promoter (R0040).  The resulting device left a scar sequence over the </w:t>
      </w:r>
      <w:proofErr w:type="spellStart"/>
      <w:r w:rsidR="00074FFC">
        <w:t>SpeI</w:t>
      </w:r>
      <w:proofErr w:type="spellEnd"/>
      <w:r w:rsidR="00074FFC">
        <w:t xml:space="preserve"> site between the promoter and RFP and followed this order:</w:t>
      </w:r>
      <w:r w:rsidR="00D0500F">
        <w:t xml:space="preserve"> </w:t>
      </w:r>
      <w:proofErr w:type="spellStart"/>
      <w:r w:rsidR="00D0500F">
        <w:t>EcoRI</w:t>
      </w:r>
      <w:proofErr w:type="spellEnd"/>
      <w:r w:rsidR="00D0500F">
        <w:t>-</w:t>
      </w:r>
      <w:proofErr w:type="spellStart"/>
      <w:r w:rsidR="00D0500F">
        <w:t>Xba</w:t>
      </w:r>
      <w:r w:rsidR="00526EF4">
        <w:t>I</w:t>
      </w:r>
      <w:proofErr w:type="spellEnd"/>
      <w:r w:rsidR="00526EF4">
        <w:t>-promoter-RFP-</w:t>
      </w:r>
      <w:proofErr w:type="spellStart"/>
      <w:r w:rsidR="00526EF4">
        <w:t>PstI</w:t>
      </w:r>
      <w:proofErr w:type="spellEnd"/>
      <w:r w:rsidR="00526EF4">
        <w:t xml:space="preserve"> (Figure 12</w:t>
      </w:r>
      <w:r w:rsidR="00D0500F">
        <w:t xml:space="preserve">).  </w:t>
      </w:r>
      <w:r w:rsidR="00074FFC">
        <w:t xml:space="preserve">When we still intended to use WG in our device we required the RFP part to be digestible at the </w:t>
      </w:r>
      <w:proofErr w:type="spellStart"/>
      <w:r w:rsidR="00074FFC">
        <w:t>BioBrick</w:t>
      </w:r>
      <w:proofErr w:type="spellEnd"/>
      <w:r w:rsidR="00074FFC">
        <w:t xml:space="preserve"> standard restriction sites.</w:t>
      </w:r>
      <w:r w:rsidR="002E2B93">
        <w:t xml:space="preserve">  We successfully used PCR to restore the prefix and suffix to RFP and used this to insert into another plasmid after an already included </w:t>
      </w:r>
      <w:proofErr w:type="spellStart"/>
      <w:r w:rsidR="002E2B93">
        <w:t>lac</w:t>
      </w:r>
      <w:proofErr w:type="spellEnd"/>
      <w:r w:rsidR="002E2B93">
        <w:t xml:space="preserve"> promoter (R0010).  This produced a </w:t>
      </w:r>
      <w:proofErr w:type="spellStart"/>
      <w:r w:rsidR="002E2B93">
        <w:t>BioBrick</w:t>
      </w:r>
      <w:proofErr w:type="spellEnd"/>
      <w:r w:rsidR="002E2B93">
        <w:t xml:space="preserve">-compatible device </w:t>
      </w:r>
      <w:r w:rsidR="00B30806">
        <w:t>that always turned</w:t>
      </w:r>
      <w:r w:rsidR="002E2B93">
        <w:t xml:space="preserve"> E. coli red when present.</w:t>
      </w:r>
    </w:p>
    <w:p w:rsidR="00D0500F" w:rsidRDefault="00B2201A" w:rsidP="00D0500F">
      <w:pPr>
        <w:ind w:firstLine="720"/>
        <w:jc w:val="center"/>
      </w:pPr>
      <w:r w:rsidRPr="00B2201A">
        <w:rPr>
          <w:noProof/>
        </w:rPr>
        <w:drawing>
          <wp:inline distT="0" distB="0" distL="0" distR="0">
            <wp:extent cx="2857500" cy="27051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857500" cy="2705100"/>
                    </a:xfrm>
                    <a:prstGeom prst="rect">
                      <a:avLst/>
                    </a:prstGeom>
                    <a:noFill/>
                    <a:ln w="9525">
                      <a:noFill/>
                      <a:miter lim="800000"/>
                      <a:headEnd/>
                      <a:tailEnd/>
                    </a:ln>
                  </pic:spPr>
                </pic:pic>
              </a:graphicData>
            </a:graphic>
          </wp:inline>
        </w:drawing>
      </w:r>
    </w:p>
    <w:p w:rsidR="00B2201A" w:rsidRPr="00D0500F" w:rsidRDefault="00C37E03" w:rsidP="00D0500F">
      <w:pPr>
        <w:jc w:val="center"/>
      </w:pPr>
      <w:r>
        <w:rPr>
          <w:b/>
        </w:rPr>
        <w:t>Figure 12</w:t>
      </w:r>
      <w:r w:rsidR="00D0500F">
        <w:rPr>
          <w:b/>
        </w:rPr>
        <w:t>:</w:t>
      </w:r>
      <w:r w:rsidR="00D0500F">
        <w:t xml:space="preserve"> Plasmid map of J61002 containing a tetracycline-repressible promoter with RFP.  This is the source of the RFP part in our </w:t>
      </w:r>
      <w:proofErr w:type="spellStart"/>
      <w:r w:rsidR="00D0500F">
        <w:t>ligated</w:t>
      </w:r>
      <w:proofErr w:type="spellEnd"/>
      <w:r w:rsidR="00D0500F">
        <w:t xml:space="preserve"> plasmid.</w:t>
      </w:r>
    </w:p>
    <w:sectPr w:rsidR="00B2201A" w:rsidRPr="00D0500F" w:rsidSect="00AD5E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1B344D"/>
    <w:rsid w:val="00066998"/>
    <w:rsid w:val="00074FFC"/>
    <w:rsid w:val="000B769B"/>
    <w:rsid w:val="000D1E93"/>
    <w:rsid w:val="0012147D"/>
    <w:rsid w:val="00126263"/>
    <w:rsid w:val="001262A0"/>
    <w:rsid w:val="00135587"/>
    <w:rsid w:val="00197D34"/>
    <w:rsid w:val="001B2825"/>
    <w:rsid w:val="001B344D"/>
    <w:rsid w:val="001E0FE4"/>
    <w:rsid w:val="002065DC"/>
    <w:rsid w:val="00236220"/>
    <w:rsid w:val="00252FD6"/>
    <w:rsid w:val="00257073"/>
    <w:rsid w:val="00283AA0"/>
    <w:rsid w:val="002B25EB"/>
    <w:rsid w:val="002E2B93"/>
    <w:rsid w:val="002E3125"/>
    <w:rsid w:val="00305F71"/>
    <w:rsid w:val="00306DEA"/>
    <w:rsid w:val="003307BE"/>
    <w:rsid w:val="0034046C"/>
    <w:rsid w:val="00364499"/>
    <w:rsid w:val="003805EE"/>
    <w:rsid w:val="003A705C"/>
    <w:rsid w:val="003C2987"/>
    <w:rsid w:val="003D1E5F"/>
    <w:rsid w:val="004843CE"/>
    <w:rsid w:val="004A0F64"/>
    <w:rsid w:val="004E05B4"/>
    <w:rsid w:val="004F2532"/>
    <w:rsid w:val="004F531D"/>
    <w:rsid w:val="00526EF4"/>
    <w:rsid w:val="00564905"/>
    <w:rsid w:val="00586F25"/>
    <w:rsid w:val="005A57DF"/>
    <w:rsid w:val="005C16FE"/>
    <w:rsid w:val="005E564B"/>
    <w:rsid w:val="005F75F3"/>
    <w:rsid w:val="006058E1"/>
    <w:rsid w:val="00634983"/>
    <w:rsid w:val="00645695"/>
    <w:rsid w:val="00695B96"/>
    <w:rsid w:val="006A782D"/>
    <w:rsid w:val="0072084C"/>
    <w:rsid w:val="007D326F"/>
    <w:rsid w:val="007F0AAF"/>
    <w:rsid w:val="0082765E"/>
    <w:rsid w:val="008305BA"/>
    <w:rsid w:val="00870973"/>
    <w:rsid w:val="009B23C5"/>
    <w:rsid w:val="009B25E5"/>
    <w:rsid w:val="009D7B28"/>
    <w:rsid w:val="009E02CC"/>
    <w:rsid w:val="009E5F2D"/>
    <w:rsid w:val="00A07327"/>
    <w:rsid w:val="00A20457"/>
    <w:rsid w:val="00A47164"/>
    <w:rsid w:val="00A54042"/>
    <w:rsid w:val="00A75866"/>
    <w:rsid w:val="00A808FD"/>
    <w:rsid w:val="00AD5EE9"/>
    <w:rsid w:val="00AD7518"/>
    <w:rsid w:val="00AD78DB"/>
    <w:rsid w:val="00AE7AB4"/>
    <w:rsid w:val="00B2201A"/>
    <w:rsid w:val="00B30806"/>
    <w:rsid w:val="00B339DB"/>
    <w:rsid w:val="00BD365D"/>
    <w:rsid w:val="00BE0CAF"/>
    <w:rsid w:val="00C37E03"/>
    <w:rsid w:val="00C44F1A"/>
    <w:rsid w:val="00CC1393"/>
    <w:rsid w:val="00CC142B"/>
    <w:rsid w:val="00CE0A56"/>
    <w:rsid w:val="00D0500F"/>
    <w:rsid w:val="00D44155"/>
    <w:rsid w:val="00D574D0"/>
    <w:rsid w:val="00DF7A00"/>
    <w:rsid w:val="00E24FFA"/>
    <w:rsid w:val="00E43957"/>
    <w:rsid w:val="00E5576F"/>
    <w:rsid w:val="00EF556F"/>
    <w:rsid w:val="00F00CD3"/>
    <w:rsid w:val="00F12BBB"/>
    <w:rsid w:val="00F3119A"/>
    <w:rsid w:val="00F618D4"/>
    <w:rsid w:val="00F909F6"/>
    <w:rsid w:val="00F91BEA"/>
    <w:rsid w:val="00F94407"/>
    <w:rsid w:val="00FC4BBF"/>
    <w:rsid w:val="00FE5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44D"/>
    <w:rPr>
      <w:rFonts w:ascii="Tahoma" w:hAnsi="Tahoma" w:cs="Tahoma"/>
      <w:sz w:val="16"/>
      <w:szCs w:val="16"/>
    </w:rPr>
  </w:style>
  <w:style w:type="table" w:styleId="TableGrid">
    <w:name w:val="Table Grid"/>
    <w:basedOn w:val="TableNormal"/>
    <w:uiPriority w:val="59"/>
    <w:rsid w:val="002E31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E02CC"/>
    <w:pPr>
      <w:spacing w:after="0" w:line="240" w:lineRule="auto"/>
    </w:pPr>
  </w:style>
  <w:style w:type="character" w:styleId="Hyperlink">
    <w:name w:val="Hyperlink"/>
    <w:basedOn w:val="DefaultParagraphFont"/>
    <w:uiPriority w:val="99"/>
    <w:semiHidden/>
    <w:unhideWhenUsed/>
    <w:rsid w:val="00F3119A"/>
    <w:rPr>
      <w:color w:val="0000FF"/>
      <w:u w:val="single"/>
    </w:rPr>
  </w:style>
  <w:style w:type="paragraph" w:styleId="ListParagraph">
    <w:name w:val="List Paragraph"/>
    <w:basedOn w:val="Normal"/>
    <w:uiPriority w:val="34"/>
    <w:qFormat/>
    <w:rsid w:val="00F3119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79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18682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dustine</dc:creator>
  <cp:keywords/>
  <dc:description/>
  <cp:lastModifiedBy>dustine</cp:lastModifiedBy>
  <cp:revision>3</cp:revision>
  <dcterms:created xsi:type="dcterms:W3CDTF">2009-12-11T22:03:00Z</dcterms:created>
  <dcterms:modified xsi:type="dcterms:W3CDTF">2009-12-11T22:07:00Z</dcterms:modified>
</cp:coreProperties>
</file>