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393630" w:rsidRPr="00393630" w:rsidRDefault="00393630" w:rsidP="00393630">
      <w:pPr>
        <w:widowControl w:val="0"/>
        <w:autoSpaceDE w:val="0"/>
        <w:autoSpaceDN w:val="0"/>
        <w:adjustRightInd w:val="0"/>
        <w:rPr>
          <w:rFonts w:ascii="Times New Roman" w:hAnsi="Times New Roman" w:cs="Futura-Heavy"/>
          <w:b/>
          <w:bCs/>
          <w:sz w:val="28"/>
          <w:szCs w:val="28"/>
        </w:rPr>
      </w:pPr>
      <w:r w:rsidRPr="00393630">
        <w:rPr>
          <w:rFonts w:ascii="Times New Roman" w:hAnsi="Times New Roman" w:cs="Futura-Heavy"/>
          <w:b/>
          <w:bCs/>
          <w:sz w:val="28"/>
          <w:szCs w:val="28"/>
        </w:rPr>
        <w:t>Protocol: Plasmid DNA Purification Using the QIAprep</w:t>
      </w:r>
    </w:p>
    <w:p w:rsidR="00393630" w:rsidRPr="00393630" w:rsidRDefault="00393630" w:rsidP="00393630">
      <w:pPr>
        <w:widowControl w:val="0"/>
        <w:autoSpaceDE w:val="0"/>
        <w:autoSpaceDN w:val="0"/>
        <w:adjustRightInd w:val="0"/>
        <w:rPr>
          <w:rFonts w:ascii="Times New Roman" w:hAnsi="Times New Roman" w:cs="Futura-Heavy"/>
          <w:b/>
          <w:bCs/>
          <w:sz w:val="28"/>
          <w:szCs w:val="28"/>
        </w:rPr>
      </w:pPr>
      <w:r w:rsidRPr="00393630">
        <w:rPr>
          <w:rFonts w:ascii="Times New Roman" w:hAnsi="Times New Roman" w:cs="Futura-Heavy"/>
          <w:b/>
          <w:bCs/>
          <w:sz w:val="28"/>
          <w:szCs w:val="28"/>
        </w:rPr>
        <w:t>Spin Miniprep Kit and a Microcentrifuge</w:t>
      </w:r>
    </w:p>
    <w:p w:rsidR="00393630" w:rsidRDefault="00393630" w:rsidP="00393630">
      <w:pPr>
        <w:widowControl w:val="0"/>
        <w:autoSpaceDE w:val="0"/>
        <w:autoSpaceDN w:val="0"/>
        <w:adjustRightInd w:val="0"/>
        <w:rPr>
          <w:rFonts w:ascii="Times New Roman" w:hAnsi="Times New Roman" w:cs="Futura-Heavy"/>
          <w:sz w:val="18"/>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p>
    <w:p w:rsidR="00796A5D" w:rsidRDefault="00796A5D" w:rsidP="004B65A9">
      <w:pPr>
        <w:widowControl w:val="0"/>
        <w:autoSpaceDE w:val="0"/>
        <w:autoSpaceDN w:val="0"/>
        <w:adjustRightInd w:val="0"/>
        <w:rPr>
          <w:rFonts w:ascii="Times New Roman" w:hAnsi="Times New Roman" w:cs="Futura-Heavy"/>
          <w:bCs/>
          <w:szCs w:val="18"/>
        </w:rPr>
      </w:pPr>
      <w:r>
        <w:rPr>
          <w:rFonts w:ascii="Times New Roman" w:hAnsi="Times New Roman" w:cs="Futura-Heavy"/>
          <w:b/>
          <w:bCs/>
          <w:szCs w:val="18"/>
        </w:rPr>
        <w:t>The Idea</w:t>
      </w:r>
    </w:p>
    <w:p w:rsidR="00796A5D" w:rsidRPr="00796A5D" w:rsidRDefault="00796A5D" w:rsidP="00796A5D">
      <w:pPr>
        <w:widowControl w:val="0"/>
        <w:autoSpaceDE w:val="0"/>
        <w:autoSpaceDN w:val="0"/>
        <w:adjustRightInd w:val="0"/>
        <w:rPr>
          <w:rFonts w:ascii="Times New Roman" w:hAnsi="Times New Roman" w:cs="Futura-Heavy"/>
          <w:bCs/>
          <w:szCs w:val="18"/>
        </w:rPr>
      </w:pPr>
      <w:r w:rsidRPr="00796A5D">
        <w:rPr>
          <w:rFonts w:ascii="Times New Roman" w:hAnsi="Times New Roman" w:cs="Futura-Heavy"/>
          <w:bCs/>
          <w:szCs w:val="18"/>
        </w:rPr>
        <w:t xml:space="preserve">A miniprep is a way of extracting plasmid DNA from cells. You will be provided with </w:t>
      </w:r>
      <w:r w:rsidRPr="00796A5D">
        <w:rPr>
          <w:rFonts w:ascii="Times New Roman" w:hAnsi="Times New Roman" w:cs="Futura-Heavy"/>
          <w:bCs/>
          <w:i/>
          <w:szCs w:val="18"/>
        </w:rPr>
        <w:t>E. coli</w:t>
      </w:r>
      <w:r w:rsidRPr="00796A5D">
        <w:rPr>
          <w:rFonts w:ascii="Times New Roman" w:hAnsi="Times New Roman" w:cs="Futura-Heavy"/>
          <w:bCs/>
          <w:szCs w:val="18"/>
        </w:rPr>
        <w:t xml:space="preserve"> cells expressing the plasmid pSB4A5. pSB4A5 will be the destination plasmid used for all assemblies. It contains an ampicillin resistance gene (hence the "A" in its name).</w:t>
      </w:r>
    </w:p>
    <w:p w:rsidR="00796A5D" w:rsidRDefault="00796A5D" w:rsidP="004B65A9">
      <w:pPr>
        <w:widowControl w:val="0"/>
        <w:autoSpaceDE w:val="0"/>
        <w:autoSpaceDN w:val="0"/>
        <w:adjustRightInd w:val="0"/>
        <w:rPr>
          <w:rFonts w:ascii="Times New Roman" w:hAnsi="Times New Roman" w:cs="Futura-Heavy"/>
          <w:b/>
          <w:bCs/>
          <w:szCs w:val="18"/>
        </w:rPr>
      </w:pPr>
    </w:p>
    <w:p w:rsidR="004B65A9" w:rsidRPr="003429B9" w:rsidRDefault="004B65A9" w:rsidP="004B65A9">
      <w:pPr>
        <w:widowControl w:val="0"/>
        <w:autoSpaceDE w:val="0"/>
        <w:autoSpaceDN w:val="0"/>
        <w:adjustRightInd w:val="0"/>
        <w:rPr>
          <w:rFonts w:ascii="Times New Roman" w:hAnsi="Times New Roman" w:cs="Futura-Heavy"/>
          <w:b/>
          <w:bCs/>
          <w:szCs w:val="18"/>
        </w:rPr>
      </w:pPr>
      <w:r>
        <w:rPr>
          <w:rFonts w:ascii="Times New Roman" w:hAnsi="Times New Roman" w:cs="Futura-Heavy"/>
          <w:b/>
          <w:bCs/>
          <w:szCs w:val="18"/>
        </w:rPr>
        <w:t>Materials</w:t>
      </w:r>
    </w:p>
    <w:p w:rsidR="004B65A9" w:rsidRPr="004B65A9" w:rsidRDefault="004B65A9" w:rsidP="004B65A9">
      <w:pPr>
        <w:pStyle w:val="ListParagraph"/>
        <w:widowControl w:val="0"/>
        <w:numPr>
          <w:ilvl w:val="0"/>
          <w:numId w:val="1"/>
        </w:numPr>
        <w:autoSpaceDE w:val="0"/>
        <w:autoSpaceDN w:val="0"/>
        <w:adjustRightInd w:val="0"/>
        <w:rPr>
          <w:rFonts w:ascii="Times New Roman" w:hAnsi="Times New Roman" w:cs="Futura-Heavy"/>
          <w:bCs/>
          <w:szCs w:val="18"/>
        </w:rPr>
      </w:pPr>
      <w:r w:rsidRPr="004B65A9">
        <w:rPr>
          <w:rFonts w:ascii="Times New Roman" w:hAnsi="Times New Roman" w:cs="Futura-Heavy"/>
          <w:bCs/>
          <w:szCs w:val="18"/>
        </w:rPr>
        <w:t>Pellet of appropriate bacterial cells</w:t>
      </w:r>
    </w:p>
    <w:p w:rsidR="004B65A9" w:rsidRDefault="004B65A9" w:rsidP="004B65A9">
      <w:pPr>
        <w:pStyle w:val="ListParagraph"/>
        <w:widowControl w:val="0"/>
        <w:numPr>
          <w:ilvl w:val="0"/>
          <w:numId w:val="1"/>
        </w:numPr>
        <w:autoSpaceDE w:val="0"/>
        <w:autoSpaceDN w:val="0"/>
        <w:adjustRightInd w:val="0"/>
        <w:rPr>
          <w:rFonts w:ascii="Times New Roman" w:hAnsi="Times New Roman" w:cs="Futura-Heavy"/>
          <w:bCs/>
          <w:szCs w:val="18"/>
        </w:rPr>
      </w:pPr>
      <w:r>
        <w:rPr>
          <w:rFonts w:ascii="Times New Roman" w:hAnsi="Times New Roman" w:cs="Futura-Heavy"/>
          <w:bCs/>
          <w:szCs w:val="18"/>
        </w:rPr>
        <w:t xml:space="preserve">QIAprep </w:t>
      </w:r>
      <w:r w:rsidR="000047B2">
        <w:rPr>
          <w:rFonts w:ascii="Times New Roman" w:hAnsi="Times New Roman" w:cs="Futura-Heavy"/>
          <w:bCs/>
          <w:szCs w:val="18"/>
        </w:rPr>
        <w:t>Buffers</w:t>
      </w:r>
    </w:p>
    <w:p w:rsidR="000047B2" w:rsidRDefault="004B65A9" w:rsidP="004B65A9">
      <w:pPr>
        <w:pStyle w:val="ListParagraph"/>
        <w:widowControl w:val="0"/>
        <w:numPr>
          <w:ilvl w:val="1"/>
          <w:numId w:val="1"/>
        </w:numPr>
        <w:autoSpaceDE w:val="0"/>
        <w:autoSpaceDN w:val="0"/>
        <w:adjustRightInd w:val="0"/>
        <w:rPr>
          <w:rFonts w:ascii="Times New Roman" w:hAnsi="Times New Roman" w:cs="Futura-Heavy"/>
          <w:bCs/>
          <w:szCs w:val="18"/>
        </w:rPr>
      </w:pPr>
      <w:r>
        <w:rPr>
          <w:rFonts w:ascii="Times New Roman" w:hAnsi="Times New Roman" w:cs="Futura-Heavy"/>
          <w:bCs/>
          <w:szCs w:val="18"/>
        </w:rPr>
        <w:t>P1, P2, N3, PB, PE</w:t>
      </w:r>
    </w:p>
    <w:p w:rsidR="004B65A9" w:rsidRPr="004B65A9" w:rsidRDefault="000047B2" w:rsidP="000047B2">
      <w:pPr>
        <w:pStyle w:val="ListParagraph"/>
        <w:widowControl w:val="0"/>
        <w:numPr>
          <w:ilvl w:val="0"/>
          <w:numId w:val="1"/>
        </w:numPr>
        <w:autoSpaceDE w:val="0"/>
        <w:autoSpaceDN w:val="0"/>
        <w:adjustRightInd w:val="0"/>
        <w:rPr>
          <w:rFonts w:ascii="Times New Roman" w:hAnsi="Times New Roman" w:cs="Futura-Heavy"/>
          <w:bCs/>
          <w:szCs w:val="18"/>
        </w:rPr>
      </w:pPr>
      <w:r>
        <w:rPr>
          <w:rFonts w:ascii="Times New Roman" w:hAnsi="Times New Roman" w:cs="Futura-Heavy"/>
          <w:bCs/>
          <w:szCs w:val="18"/>
        </w:rPr>
        <w:t xml:space="preserve">Deionized, sterile </w:t>
      </w:r>
      <w:r>
        <w:rPr>
          <w:rFonts w:ascii="Times New Roman" w:hAnsi="Times New Roman"/>
        </w:rPr>
        <w:t>H</w:t>
      </w:r>
      <w:r>
        <w:rPr>
          <w:rFonts w:ascii="Times New Roman" w:hAnsi="Times New Roman"/>
          <w:vertAlign w:val="subscript"/>
        </w:rPr>
        <w:t>2</w:t>
      </w:r>
      <w:r>
        <w:rPr>
          <w:rFonts w:ascii="Times New Roman" w:hAnsi="Times New Roman"/>
        </w:rPr>
        <w:t>O</w:t>
      </w:r>
    </w:p>
    <w:p w:rsidR="004B65A9" w:rsidRDefault="004B65A9" w:rsidP="00393630">
      <w:pPr>
        <w:widowControl w:val="0"/>
        <w:autoSpaceDE w:val="0"/>
        <w:autoSpaceDN w:val="0"/>
        <w:adjustRightInd w:val="0"/>
        <w:rPr>
          <w:rFonts w:ascii="Times New Roman" w:hAnsi="Times New Roman" w:cs="Futura-Heavy"/>
          <w:b/>
          <w:bCs/>
          <w:szCs w:val="18"/>
        </w:rPr>
      </w:pPr>
    </w:p>
    <w:p w:rsidR="004B65A9" w:rsidRDefault="004B65A9" w:rsidP="00393630">
      <w:pPr>
        <w:widowControl w:val="0"/>
        <w:autoSpaceDE w:val="0"/>
        <w:autoSpaceDN w:val="0"/>
        <w:adjustRightInd w:val="0"/>
        <w:rPr>
          <w:rFonts w:ascii="Times New Roman" w:hAnsi="Times New Roman" w:cs="Futura-Heavy"/>
          <w:b/>
          <w:bCs/>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Procedure</w:t>
      </w:r>
    </w:p>
    <w:p w:rsidR="006702B1" w:rsidRDefault="006702B1" w:rsidP="00393630">
      <w:pPr>
        <w:widowControl w:val="0"/>
        <w:tabs>
          <w:tab w:val="left" w:pos="-90"/>
          <w:tab w:val="left" w:pos="0"/>
        </w:tabs>
        <w:autoSpaceDE w:val="0"/>
        <w:autoSpaceDN w:val="0"/>
        <w:adjustRightInd w:val="0"/>
        <w:rPr>
          <w:rFonts w:ascii="Times New Roman" w:hAnsi="Times New Roman" w:cs="Futura-Heavy"/>
          <w:b/>
          <w:bCs/>
          <w:szCs w:val="18"/>
        </w:rPr>
      </w:pPr>
    </w:p>
    <w:p w:rsidR="00393630" w:rsidRPr="003429B9" w:rsidRDefault="00393630" w:rsidP="00393630">
      <w:pPr>
        <w:widowControl w:val="0"/>
        <w:tabs>
          <w:tab w:val="left" w:pos="-90"/>
          <w:tab w:val="left" w:pos="0"/>
        </w:tabs>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 xml:space="preserve">1. Resuspend pelleted bacterial cells in 250 μl Buffer P1 and transfer to a </w:t>
      </w:r>
      <w:r w:rsidR="000047B2">
        <w:rPr>
          <w:rFonts w:ascii="Times New Roman" w:hAnsi="Times New Roman" w:cs="Futura-Heavy"/>
          <w:b/>
          <w:bCs/>
          <w:szCs w:val="18"/>
        </w:rPr>
        <w:t xml:space="preserve">1.7ml </w:t>
      </w:r>
      <w:r w:rsidRPr="003429B9">
        <w:rPr>
          <w:rFonts w:ascii="Times New Roman" w:hAnsi="Times New Roman" w:cs="Futura-Heavy"/>
          <w:b/>
          <w:bCs/>
          <w:szCs w:val="18"/>
        </w:rPr>
        <w:t>microcentrifuge tube.</w:t>
      </w:r>
    </w:p>
    <w:p w:rsidR="00393630" w:rsidRPr="003429B9" w:rsidRDefault="00393630" w:rsidP="00393630">
      <w:pPr>
        <w:widowControl w:val="0"/>
        <w:autoSpaceDE w:val="0"/>
        <w:autoSpaceDN w:val="0"/>
        <w:adjustRightInd w:val="0"/>
        <w:rPr>
          <w:rFonts w:ascii="Times New Roman" w:hAnsi="Times New Roman" w:cs="Futura-Heavy"/>
          <w:szCs w:val="18"/>
        </w:rPr>
      </w:pPr>
      <w:r w:rsidRPr="003429B9">
        <w:rPr>
          <w:rFonts w:ascii="Times New Roman" w:hAnsi="Times New Roman" w:cs="Futura-Heavy"/>
          <w:szCs w:val="18"/>
        </w:rPr>
        <w:t>No cell clumps should be visible after resuspension of the pellet.</w:t>
      </w:r>
      <w:r w:rsidR="003429B9">
        <w:rPr>
          <w:rFonts w:ascii="Times New Roman" w:hAnsi="Times New Roman" w:cs="Futura-Heavy"/>
          <w:szCs w:val="18"/>
        </w:rPr>
        <w:t xml:space="preserve"> </w:t>
      </w:r>
      <w:r w:rsidR="006702B1">
        <w:rPr>
          <w:rFonts w:ascii="Times New Roman" w:hAnsi="Times New Roman" w:cs="Futura-Heavy"/>
          <w:szCs w:val="18"/>
        </w:rPr>
        <w:t xml:space="preserve"> </w:t>
      </w:r>
      <w:r w:rsidRPr="003429B9">
        <w:rPr>
          <w:rFonts w:ascii="Times New Roman" w:hAnsi="Times New Roman" w:cs="Futura-Heavy"/>
          <w:szCs w:val="18"/>
        </w:rPr>
        <w:t>The bacteria should be resuspended completely by vortexing or pipetting up and down until no cell clumps remain.</w:t>
      </w:r>
    </w:p>
    <w:p w:rsidR="00393630" w:rsidRPr="003429B9" w:rsidRDefault="00393630" w:rsidP="00393630">
      <w:pPr>
        <w:widowControl w:val="0"/>
        <w:autoSpaceDE w:val="0"/>
        <w:autoSpaceDN w:val="0"/>
        <w:adjustRightInd w:val="0"/>
        <w:rPr>
          <w:rFonts w:ascii="Times New Roman" w:hAnsi="Times New Roman" w:cs="Futura-Heavy"/>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2. Add 250 μl Buffer P2 and mix thoroughly by inverting the tube 4–6 times.</w:t>
      </w:r>
    </w:p>
    <w:p w:rsidR="00393630" w:rsidRPr="003429B9" w:rsidRDefault="00393630" w:rsidP="00393630">
      <w:pPr>
        <w:widowControl w:val="0"/>
        <w:autoSpaceDE w:val="0"/>
        <w:autoSpaceDN w:val="0"/>
        <w:adjustRightInd w:val="0"/>
        <w:rPr>
          <w:rFonts w:ascii="Times New Roman" w:hAnsi="Times New Roman" w:cs="Futura-Heavy"/>
          <w:szCs w:val="18"/>
        </w:rPr>
      </w:pPr>
      <w:r w:rsidRPr="003429B9">
        <w:rPr>
          <w:rFonts w:ascii="Times New Roman" w:hAnsi="Times New Roman" w:cs="Futura-Heavy"/>
          <w:szCs w:val="18"/>
        </w:rPr>
        <w:t xml:space="preserve">Mix gently by inverting the tube. Do not vortex, as this will result in shearing of genomic DNA. If necessary, continue inverting the tube until the solution becomes viscous and slightly clear. </w:t>
      </w:r>
      <w:r w:rsidRPr="006702B1">
        <w:rPr>
          <w:rFonts w:ascii="Times New Roman" w:hAnsi="Times New Roman" w:cs="Futura-Heavy"/>
          <w:i/>
          <w:szCs w:val="18"/>
        </w:rPr>
        <w:t>Do not allow the lysis reaction to proceed for more than 5 min.</w:t>
      </w:r>
      <w:r w:rsidRPr="003429B9">
        <w:rPr>
          <w:rFonts w:ascii="Times New Roman" w:hAnsi="Times New Roman" w:cs="Futura-Heavy"/>
          <w:szCs w:val="18"/>
        </w:rPr>
        <w:t xml:space="preserve">  If LyseBlue has been added to Buffer P1 the cell suspension will turn blue after addition of Buffer P2. Mixing should result in a homogeneously colored suspension. If the suspension contains localized colorless regions or if brownish cell clumps are still visible, continue mixing the solution until a homogeneously colored suspension is achieved.</w:t>
      </w:r>
    </w:p>
    <w:p w:rsidR="00393630" w:rsidRPr="003429B9" w:rsidRDefault="00393630" w:rsidP="00393630">
      <w:pPr>
        <w:widowControl w:val="0"/>
        <w:autoSpaceDE w:val="0"/>
        <w:autoSpaceDN w:val="0"/>
        <w:adjustRightInd w:val="0"/>
        <w:rPr>
          <w:rFonts w:ascii="Times New Roman" w:hAnsi="Times New Roman" w:cs="Futura-Heavy"/>
          <w:b/>
          <w:bCs/>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3. Add 350 μl Buffer N3 and mix immediately and thoroughly by inverting the tube</w:t>
      </w:r>
      <w:r w:rsidR="006702B1">
        <w:rPr>
          <w:rFonts w:ascii="Times New Roman" w:hAnsi="Times New Roman" w:cs="Futura-Heavy"/>
          <w:b/>
          <w:bCs/>
          <w:szCs w:val="18"/>
        </w:rPr>
        <w:t xml:space="preserve"> </w:t>
      </w:r>
      <w:r w:rsidRPr="003429B9">
        <w:rPr>
          <w:rFonts w:ascii="Times New Roman" w:hAnsi="Times New Roman" w:cs="Futura-Heavy"/>
          <w:b/>
          <w:bCs/>
          <w:szCs w:val="18"/>
        </w:rPr>
        <w:t>4–6 times.</w:t>
      </w:r>
    </w:p>
    <w:p w:rsidR="006702B1" w:rsidRDefault="00393630" w:rsidP="00393630">
      <w:pPr>
        <w:widowControl w:val="0"/>
        <w:autoSpaceDE w:val="0"/>
        <w:autoSpaceDN w:val="0"/>
        <w:adjustRightInd w:val="0"/>
        <w:rPr>
          <w:rFonts w:ascii="Times New Roman" w:hAnsi="Times New Roman" w:cs="Futura-Heavy"/>
          <w:szCs w:val="18"/>
        </w:rPr>
      </w:pPr>
      <w:r w:rsidRPr="003429B9">
        <w:rPr>
          <w:rFonts w:ascii="Times New Roman" w:hAnsi="Times New Roman" w:cs="Futura-Heavy"/>
          <w:szCs w:val="18"/>
        </w:rPr>
        <w:t xml:space="preserve">To avoid localized precipitation, mix the solution thoroughly, immediately after addition of Buffer N3. The solution should become cloudy.  If LyseBlue reagent has been used, the suspension should be mixed until all trace of blue has gone and the suspension is colorless. </w:t>
      </w:r>
    </w:p>
    <w:p w:rsidR="00393630" w:rsidRPr="003429B9" w:rsidRDefault="00393630" w:rsidP="00393630">
      <w:pPr>
        <w:widowControl w:val="0"/>
        <w:autoSpaceDE w:val="0"/>
        <w:autoSpaceDN w:val="0"/>
        <w:adjustRightInd w:val="0"/>
        <w:rPr>
          <w:rFonts w:ascii="Times New Roman" w:hAnsi="Times New Roman" w:cs="Futura-Heavy"/>
          <w:b/>
          <w:bCs/>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4. Centrifuge for 10 min at 13,000 rpm (~17,900 x g) in a table-top microcentrifuge.</w:t>
      </w:r>
    </w:p>
    <w:p w:rsidR="00393630" w:rsidRPr="003429B9" w:rsidRDefault="00393630" w:rsidP="00393630">
      <w:pPr>
        <w:rPr>
          <w:rFonts w:ascii="Times New Roman" w:hAnsi="Times New Roman" w:cs="Futura-Heavy"/>
          <w:szCs w:val="18"/>
        </w:rPr>
      </w:pPr>
      <w:r w:rsidRPr="003429B9">
        <w:rPr>
          <w:rFonts w:ascii="Times New Roman" w:hAnsi="Times New Roman" w:cs="Futura-Heavy"/>
          <w:szCs w:val="18"/>
        </w:rPr>
        <w:t>A compact white pellet will form.</w:t>
      </w:r>
    </w:p>
    <w:p w:rsidR="00393630" w:rsidRPr="003429B9" w:rsidRDefault="00393630" w:rsidP="00393630">
      <w:pPr>
        <w:rPr>
          <w:rFonts w:ascii="Times New Roman" w:hAnsi="Times New Roman" w:cs="Futura-Heavy"/>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5. Apply the supernatants from step 4 to the QIAprep spin column by decanting or pipetting.</w:t>
      </w:r>
    </w:p>
    <w:p w:rsidR="00393630" w:rsidRPr="003429B9" w:rsidRDefault="00393630" w:rsidP="00393630">
      <w:pPr>
        <w:widowControl w:val="0"/>
        <w:autoSpaceDE w:val="0"/>
        <w:autoSpaceDN w:val="0"/>
        <w:adjustRightInd w:val="0"/>
        <w:rPr>
          <w:rFonts w:ascii="Times New Roman" w:hAnsi="Times New Roman" w:cs="Futura-Heavy"/>
          <w:b/>
          <w:bCs/>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6. Centrifuge for 30–60 s. Discard the flow-through.</w:t>
      </w:r>
    </w:p>
    <w:p w:rsidR="00393630" w:rsidRPr="003429B9" w:rsidRDefault="00393630" w:rsidP="00393630">
      <w:pPr>
        <w:widowControl w:val="0"/>
        <w:autoSpaceDE w:val="0"/>
        <w:autoSpaceDN w:val="0"/>
        <w:adjustRightInd w:val="0"/>
        <w:rPr>
          <w:rFonts w:ascii="Times New Roman" w:hAnsi="Times New Roman" w:cs="Futura-Heavy"/>
          <w:b/>
          <w:bCs/>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7. Recommended: Wash the QIAprep spin column by adding 0.5 ml Buffer PB and centrifuging for 30–60 s. Discard the flow-through.</w:t>
      </w:r>
    </w:p>
    <w:p w:rsidR="00393630" w:rsidRPr="003429B9" w:rsidRDefault="00393630" w:rsidP="00393630">
      <w:pPr>
        <w:widowControl w:val="0"/>
        <w:autoSpaceDE w:val="0"/>
        <w:autoSpaceDN w:val="0"/>
        <w:adjustRightInd w:val="0"/>
        <w:rPr>
          <w:rFonts w:ascii="Times New Roman" w:hAnsi="Times New Roman" w:cs="Futura-Heavy"/>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8. Wash QIAprep spin column by adding 0.75 ml Buffer PE and centrifuging for 30–60 s.</w:t>
      </w:r>
    </w:p>
    <w:p w:rsidR="00393630" w:rsidRPr="003429B9" w:rsidRDefault="00393630" w:rsidP="00393630">
      <w:pPr>
        <w:widowControl w:val="0"/>
        <w:autoSpaceDE w:val="0"/>
        <w:autoSpaceDN w:val="0"/>
        <w:adjustRightInd w:val="0"/>
        <w:rPr>
          <w:rFonts w:ascii="Times New Roman" w:hAnsi="Times New Roman" w:cs="Futura-Heavy"/>
          <w:b/>
          <w:bCs/>
          <w:szCs w:val="18"/>
        </w:rPr>
      </w:pPr>
    </w:p>
    <w:p w:rsidR="00393630"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9. Discard the flow-through, and centrifuge for an additional 1 min to remove residual wash buffer.</w:t>
      </w:r>
    </w:p>
    <w:p w:rsidR="00393630" w:rsidRPr="003429B9" w:rsidRDefault="00393630" w:rsidP="00393630">
      <w:pPr>
        <w:widowControl w:val="0"/>
        <w:autoSpaceDE w:val="0"/>
        <w:autoSpaceDN w:val="0"/>
        <w:adjustRightInd w:val="0"/>
        <w:rPr>
          <w:rFonts w:ascii="Times New Roman" w:hAnsi="Times New Roman" w:cs="Futura-Heavy"/>
          <w:szCs w:val="18"/>
        </w:rPr>
      </w:pPr>
      <w:r w:rsidRPr="003429B9">
        <w:rPr>
          <w:rFonts w:ascii="Times New Roman" w:hAnsi="Times New Roman" w:cs="Futura-Heavy"/>
          <w:b/>
          <w:bCs/>
          <w:szCs w:val="18"/>
        </w:rPr>
        <w:t xml:space="preserve">Important: </w:t>
      </w:r>
      <w:r w:rsidRPr="003429B9">
        <w:rPr>
          <w:rFonts w:ascii="Times New Roman" w:hAnsi="Times New Roman" w:cs="Futura-Heavy"/>
          <w:szCs w:val="18"/>
        </w:rPr>
        <w:t>Residual wash buffer will not be completely removed unless the flow-through is discarded before this additional centrifugation. Residual ethanol from Buffer PE may inhibit subsequent enzymatic reactions.</w:t>
      </w:r>
    </w:p>
    <w:p w:rsidR="00393630" w:rsidRPr="003429B9" w:rsidRDefault="00393630" w:rsidP="00393630">
      <w:pPr>
        <w:widowControl w:val="0"/>
        <w:autoSpaceDE w:val="0"/>
        <w:autoSpaceDN w:val="0"/>
        <w:adjustRightInd w:val="0"/>
        <w:rPr>
          <w:rFonts w:ascii="Times New Roman" w:hAnsi="Times New Roman" w:cs="Futura-Heavy"/>
          <w:szCs w:val="18"/>
        </w:rPr>
      </w:pPr>
    </w:p>
    <w:p w:rsidR="000E0B27" w:rsidRPr="003429B9" w:rsidRDefault="00393630" w:rsidP="00393630">
      <w:pPr>
        <w:widowControl w:val="0"/>
        <w:autoSpaceDE w:val="0"/>
        <w:autoSpaceDN w:val="0"/>
        <w:adjustRightInd w:val="0"/>
        <w:rPr>
          <w:rFonts w:ascii="Times New Roman" w:hAnsi="Times New Roman" w:cs="Futura-Heavy"/>
          <w:b/>
          <w:bCs/>
          <w:szCs w:val="18"/>
        </w:rPr>
      </w:pPr>
      <w:r w:rsidRPr="003429B9">
        <w:rPr>
          <w:rFonts w:ascii="Times New Roman" w:hAnsi="Times New Roman" w:cs="Futura-Heavy"/>
          <w:b/>
          <w:bCs/>
          <w:szCs w:val="18"/>
        </w:rPr>
        <w:t>10. Place the QIAprep column in a clean 1.5 ml microcentrifuge tube. To elute DNA, add 50 μl Buffer EB (10 mM Tris·Cl, pH 8.5) or water to the center of each QIAprep spin column, let stand for 1 min, and centrifuge for 1 min.</w:t>
      </w:r>
    </w:p>
    <w:sectPr w:rsidR="000E0B27" w:rsidRPr="003429B9" w:rsidSect="00141E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Futura-Heavy">
    <w:altName w:val="Cambria"/>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D391EA8"/>
    <w:multiLevelType w:val="hybridMultilevel"/>
    <w:tmpl w:val="36A6D31C"/>
    <w:lvl w:ilvl="0" w:tplc="EB0CECA6">
      <w:start w:val="1"/>
      <w:numFmt w:val="bullet"/>
      <w:lvlText w:val=""/>
      <w:lvlJc w:val="left"/>
      <w:pPr>
        <w:ind w:left="600" w:hanging="360"/>
      </w:pPr>
      <w:rPr>
        <w:rFonts w:ascii="Symbol" w:eastAsiaTheme="minorHAnsi" w:hAnsi="Symbol" w:cs="Futura-Heavy" w:hint="default"/>
      </w:rPr>
    </w:lvl>
    <w:lvl w:ilvl="1" w:tplc="04090003">
      <w:start w:val="1"/>
      <w:numFmt w:val="bullet"/>
      <w:lvlText w:val="o"/>
      <w:lvlJc w:val="left"/>
      <w:pPr>
        <w:ind w:left="1320" w:hanging="360"/>
      </w:pPr>
      <w:rPr>
        <w:rFonts w:ascii="Courier New" w:hAnsi="Courier New" w:hint="default"/>
      </w:rPr>
    </w:lvl>
    <w:lvl w:ilvl="2" w:tplc="04090005">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93630"/>
    <w:rsid w:val="000047B2"/>
    <w:rsid w:val="003429B9"/>
    <w:rsid w:val="00393630"/>
    <w:rsid w:val="004B65A9"/>
    <w:rsid w:val="0053339E"/>
    <w:rsid w:val="005D3A70"/>
    <w:rsid w:val="006702B1"/>
    <w:rsid w:val="00796A5D"/>
    <w:rsid w:val="00B47FE6"/>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B2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B65A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412</Words>
  <Characters>2349</Characters>
  <Application>Microsoft Macintosh Word</Application>
  <DocSecurity>0</DocSecurity>
  <Lines>19</Lines>
  <Paragraphs>4</Paragraphs>
  <ScaleCrop>false</ScaleCrop>
  <Company>Harvard University</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6</cp:revision>
  <dcterms:created xsi:type="dcterms:W3CDTF">2009-02-28T04:44:00Z</dcterms:created>
  <dcterms:modified xsi:type="dcterms:W3CDTF">2009-02-28T10:59:00Z</dcterms:modified>
</cp:coreProperties>
</file>