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4D1445" w14:textId="77777777" w:rsidR="008D3C62" w:rsidRPr="00D15CB7" w:rsidRDefault="008D3C62" w:rsidP="008D3C62">
      <w:pPr>
        <w:jc w:val="center"/>
        <w:rPr>
          <w:rFonts w:ascii="Helvetica" w:hAnsi="Helvetica"/>
          <w:sz w:val="26"/>
          <w:szCs w:val="26"/>
        </w:rPr>
      </w:pPr>
      <w:r>
        <w:rPr>
          <w:rFonts w:ascii="Helvetica" w:hAnsi="Helvetica"/>
          <w:sz w:val="26"/>
          <w:szCs w:val="26"/>
        </w:rPr>
        <w:t>Microteaching topics</w:t>
      </w:r>
      <w:r w:rsidR="006175EC">
        <w:rPr>
          <w:rFonts w:ascii="Helvetica" w:hAnsi="Helvetica"/>
          <w:sz w:val="26"/>
          <w:szCs w:val="26"/>
        </w:rPr>
        <w:t xml:space="preserve"> – </w:t>
      </w:r>
      <w:r w:rsidR="006175EC" w:rsidRPr="00FB7908">
        <w:rPr>
          <w:rFonts w:ascii="Helvetica" w:hAnsi="Helvetica"/>
          <w:color w:val="0000FF"/>
          <w:sz w:val="26"/>
          <w:szCs w:val="26"/>
        </w:rPr>
        <w:t>solutions</w:t>
      </w:r>
    </w:p>
    <w:p w14:paraId="6E0F9F76" w14:textId="77777777" w:rsidR="008D3C62" w:rsidRPr="00D15CB7" w:rsidRDefault="008D3C62" w:rsidP="008D3C62">
      <w:pPr>
        <w:jc w:val="center"/>
        <w:rPr>
          <w:rFonts w:ascii="Helvetica" w:hAnsi="Helvetica"/>
          <w:sz w:val="20"/>
          <w:szCs w:val="20"/>
        </w:rPr>
      </w:pPr>
      <w:r w:rsidRPr="00D15CB7">
        <w:rPr>
          <w:rFonts w:ascii="Helvetica" w:hAnsi="Helvetica"/>
          <w:sz w:val="20"/>
          <w:szCs w:val="20"/>
        </w:rPr>
        <w:t>Department of Biological Engineering TA Training</w:t>
      </w:r>
    </w:p>
    <w:p w14:paraId="68657092" w14:textId="77777777" w:rsidR="008146C0" w:rsidRDefault="008146C0" w:rsidP="00E85597"/>
    <w:p w14:paraId="2FC4727A" w14:textId="77777777" w:rsidR="00473EE7" w:rsidRDefault="00473EE7" w:rsidP="00E85597"/>
    <w:p w14:paraId="4E4CFCDE" w14:textId="74A59BBC" w:rsidR="004D0865" w:rsidRPr="00707CA6" w:rsidRDefault="00473EE7" w:rsidP="00E85597">
      <w:pPr>
        <w:rPr>
          <w:color w:val="0000FF"/>
        </w:rPr>
      </w:pPr>
      <w:r w:rsidRPr="00524465">
        <w:rPr>
          <w:color w:val="0000FF"/>
        </w:rPr>
        <w:t>Here we include brief solution outlines, so you can focus your efforts on how best to teach the topic at hand, and not on wondering whether you have correctly solved the problem.</w:t>
      </w:r>
      <w:bookmarkStart w:id="0" w:name="_GoBack"/>
      <w:bookmarkEnd w:id="0"/>
    </w:p>
    <w:p w14:paraId="169C70E0" w14:textId="77777777" w:rsidR="00305A8D" w:rsidRDefault="00305A8D" w:rsidP="00E85597"/>
    <w:p w14:paraId="0EC3EA9A" w14:textId="77777777" w:rsidR="004463BD" w:rsidRDefault="004463BD" w:rsidP="00E85597"/>
    <w:p w14:paraId="0AA30111" w14:textId="77777777" w:rsidR="005B5934" w:rsidRPr="001576E0" w:rsidRDefault="00022967" w:rsidP="00E85597">
      <w:pPr>
        <w:rPr>
          <w:b/>
        </w:rPr>
      </w:pPr>
      <w:r w:rsidRPr="001576E0">
        <w:rPr>
          <w:b/>
        </w:rPr>
        <w:t xml:space="preserve">1. </w:t>
      </w:r>
      <w:r w:rsidR="00FB0580" w:rsidRPr="001576E0">
        <w:rPr>
          <w:b/>
        </w:rPr>
        <w:t>Free energy and ATP</w:t>
      </w:r>
      <w:r w:rsidR="00B66673" w:rsidRPr="001576E0">
        <w:rPr>
          <w:b/>
        </w:rPr>
        <w:t xml:space="preserve"> hydrolysis</w:t>
      </w:r>
    </w:p>
    <w:p w14:paraId="2A6CABCA" w14:textId="77777777" w:rsidR="005B5934" w:rsidRDefault="005B5934" w:rsidP="00E85597"/>
    <w:p w14:paraId="26072A38" w14:textId="77777777" w:rsidR="00022967" w:rsidRDefault="00022967" w:rsidP="00E85597">
      <w:r>
        <w:t xml:space="preserve">The hydrolysis of ATP to ADP and inorganic </w:t>
      </w:r>
      <w:proofErr w:type="spellStart"/>
      <w:r>
        <w:t>phospate</w:t>
      </w:r>
      <w:proofErr w:type="spellEnd"/>
      <w:r>
        <w:t xml:space="preserve"> has a standard reaction free energy of about -30 kJ/mole at body temperature. </w:t>
      </w:r>
    </w:p>
    <w:p w14:paraId="7BEB64E8" w14:textId="77777777" w:rsidR="00022967" w:rsidRDefault="00022967" w:rsidP="00E85597"/>
    <w:p w14:paraId="108B0BD3" w14:textId="77777777" w:rsidR="00022967" w:rsidRDefault="00022967" w:rsidP="00746624">
      <w:pPr>
        <w:pStyle w:val="ListParagraph"/>
        <w:numPr>
          <w:ilvl w:val="0"/>
          <w:numId w:val="3"/>
        </w:numPr>
      </w:pPr>
      <w:r>
        <w:t>If the reaction goes to equilibrium, what is the ratio of ADP</w:t>
      </w:r>
      <w:proofErr w:type="gramStart"/>
      <w:r>
        <w:t>:ATP</w:t>
      </w:r>
      <w:proofErr w:type="gramEnd"/>
      <w:r>
        <w:t xml:space="preserve"> </w:t>
      </w:r>
      <w:r w:rsidR="00924F6B">
        <w:t>at</w:t>
      </w:r>
      <w:r>
        <w:t xml:space="preserve"> a 1 </w:t>
      </w:r>
      <w:proofErr w:type="spellStart"/>
      <w:r>
        <w:t>mM</w:t>
      </w:r>
      <w:proofErr w:type="spellEnd"/>
      <w:r>
        <w:t xml:space="preserve"> phosphate concentration? What does this result imply about hydrolysis in the body?</w:t>
      </w:r>
    </w:p>
    <w:p w14:paraId="795DBEB2" w14:textId="77777777" w:rsidR="00FB7908" w:rsidRDefault="00FB7908" w:rsidP="00FB7908"/>
    <w:p w14:paraId="73C2FA9E" w14:textId="1556AF51" w:rsidR="00FB7908" w:rsidRPr="00CA1D20" w:rsidRDefault="00FB7908" w:rsidP="00521EEE">
      <w:pPr>
        <w:ind w:left="360" w:firstLine="360"/>
        <w:rPr>
          <w:color w:val="0000FF"/>
        </w:rPr>
      </w:pPr>
      <w:r>
        <w:rPr>
          <w:color w:val="0000FF"/>
        </w:rPr>
        <w:t xml:space="preserve">Get to </w:t>
      </w:r>
      <m:oMath>
        <m:r>
          <m:rPr>
            <m:sty m:val="p"/>
          </m:rPr>
          <w:rPr>
            <w:rFonts w:ascii="Cambria Math" w:hAnsi="Cambria Math"/>
            <w:color w:val="0000FF"/>
          </w:rPr>
          <m:t>Δ</m:t>
        </m:r>
        <m:r>
          <w:rPr>
            <w:rFonts w:ascii="Cambria Math" w:hAnsi="Cambria Math"/>
            <w:color w:val="0000FF"/>
          </w:rPr>
          <m:t>G=-RT lnK</m:t>
        </m:r>
      </m:oMath>
      <w:r w:rsidR="00172DD8">
        <w:rPr>
          <w:color w:val="0000FF"/>
        </w:rPr>
        <w:t xml:space="preserve"> and K = 1.14*10</w:t>
      </w:r>
      <w:r w:rsidR="00172DD8" w:rsidRPr="00172DD8">
        <w:rPr>
          <w:color w:val="0000FF"/>
          <w:vertAlign w:val="superscript"/>
        </w:rPr>
        <w:t>5</w:t>
      </w:r>
      <w:r w:rsidR="00CA1D20">
        <w:rPr>
          <w:color w:val="0000FF"/>
        </w:rPr>
        <w:t>.</w:t>
      </w:r>
    </w:p>
    <w:p w14:paraId="4CC4BAC6" w14:textId="39907C2F" w:rsidR="00172DD8" w:rsidRPr="00172DD8" w:rsidRDefault="00172DD8" w:rsidP="00521EEE">
      <w:pPr>
        <w:ind w:left="360" w:firstLine="360"/>
        <w:rPr>
          <w:color w:val="0000FF"/>
        </w:rPr>
      </w:pPr>
      <w:r>
        <w:rPr>
          <w:color w:val="0000FF"/>
        </w:rPr>
        <w:t xml:space="preserve">K, equilibrium constant, is also </w:t>
      </w:r>
      <m:oMath>
        <m:f>
          <m:fPr>
            <m:ctrlPr>
              <w:rPr>
                <w:rFonts w:ascii="Cambria Math" w:hAnsi="Cambria Math"/>
                <w:i/>
                <w:color w:val="0000FF"/>
              </w:rPr>
            </m:ctrlPr>
          </m:fPr>
          <m:num>
            <m:d>
              <m:dPr>
                <m:begChr m:val="["/>
                <m:endChr m:val="]"/>
                <m:ctrlPr>
                  <w:rPr>
                    <w:rFonts w:ascii="Cambria Math" w:hAnsi="Cambria Math"/>
                    <w:i/>
                    <w:color w:val="0000FF"/>
                  </w:rPr>
                </m:ctrlPr>
              </m:dPr>
              <m:e>
                <m:r>
                  <w:rPr>
                    <w:rFonts w:ascii="Cambria Math" w:hAnsi="Cambria Math"/>
                    <w:color w:val="0000FF"/>
                  </w:rPr>
                  <m:t>ADP</m:t>
                </m:r>
              </m:e>
            </m:d>
            <m:r>
              <w:rPr>
                <w:rFonts w:ascii="Cambria Math" w:hAnsi="Cambria Math"/>
                <w:color w:val="0000FF"/>
              </w:rPr>
              <m:t>[Ppi]</m:t>
            </m:r>
          </m:num>
          <m:den>
            <m:d>
              <m:dPr>
                <m:begChr m:val="["/>
                <m:endChr m:val="]"/>
                <m:ctrlPr>
                  <w:rPr>
                    <w:rFonts w:ascii="Cambria Math" w:hAnsi="Cambria Math"/>
                    <w:i/>
                    <w:color w:val="0000FF"/>
                  </w:rPr>
                </m:ctrlPr>
              </m:dPr>
              <m:e>
                <m:r>
                  <w:rPr>
                    <w:rFonts w:ascii="Cambria Math" w:hAnsi="Cambria Math"/>
                    <w:color w:val="0000FF"/>
                  </w:rPr>
                  <m:t>ATP</m:t>
                </m:r>
              </m:e>
            </m:d>
            <m:r>
              <w:rPr>
                <w:rFonts w:ascii="Cambria Math" w:hAnsi="Cambria Math"/>
                <w:color w:val="0000FF"/>
              </w:rPr>
              <m:t>[H2O]</m:t>
            </m:r>
          </m:den>
        </m:f>
      </m:oMath>
      <w:r w:rsidR="00CA1D20">
        <w:rPr>
          <w:color w:val="0000FF"/>
        </w:rPr>
        <w:t>.</w:t>
      </w:r>
    </w:p>
    <w:p w14:paraId="244A2D9E" w14:textId="47DD2B91" w:rsidR="00172DD8" w:rsidRDefault="008C34DB" w:rsidP="00521EEE">
      <w:pPr>
        <w:ind w:left="360" w:firstLine="360"/>
        <w:rPr>
          <w:color w:val="0000FF"/>
        </w:rPr>
      </w:pPr>
      <w:r>
        <w:rPr>
          <w:color w:val="0000FF"/>
        </w:rPr>
        <w:t>The tricky part is that [H</w:t>
      </w:r>
      <w:r w:rsidRPr="00473EE7">
        <w:rPr>
          <w:color w:val="0000FF"/>
          <w:vertAlign w:val="subscript"/>
        </w:rPr>
        <w:t>2</w:t>
      </w:r>
      <w:r>
        <w:rPr>
          <w:color w:val="0000FF"/>
        </w:rPr>
        <w:t>O] is taken as 1 M, leading to a ratio of 10</w:t>
      </w:r>
      <w:r w:rsidRPr="008C34DB">
        <w:rPr>
          <w:color w:val="0000FF"/>
          <w:vertAlign w:val="superscript"/>
        </w:rPr>
        <w:t>8</w:t>
      </w:r>
      <w:r w:rsidR="00CA1D20">
        <w:rPr>
          <w:color w:val="0000FF"/>
        </w:rPr>
        <w:t>.</w:t>
      </w:r>
    </w:p>
    <w:p w14:paraId="6EE66B33" w14:textId="1E22D1E6" w:rsidR="008C34DB" w:rsidRPr="008C34DB" w:rsidRDefault="00C872E2" w:rsidP="00521EEE">
      <w:pPr>
        <w:ind w:left="360" w:firstLine="360"/>
        <w:rPr>
          <w:color w:val="0000FF"/>
        </w:rPr>
      </w:pPr>
      <w:r>
        <w:rPr>
          <w:color w:val="0000FF"/>
        </w:rPr>
        <w:t>Hence, hydrolysis is highly favored.</w:t>
      </w:r>
    </w:p>
    <w:p w14:paraId="1A157ACF" w14:textId="77777777" w:rsidR="00FB7908" w:rsidRDefault="00FB7908" w:rsidP="00FB7908"/>
    <w:p w14:paraId="415154BA" w14:textId="77777777" w:rsidR="00022967" w:rsidRDefault="00022967" w:rsidP="00746624">
      <w:pPr>
        <w:pStyle w:val="ListParagraph"/>
        <w:numPr>
          <w:ilvl w:val="0"/>
          <w:numId w:val="3"/>
        </w:numPr>
      </w:pPr>
      <w:r>
        <w:t>Often ATP hydrolysis is coupled to a needed cellular reaction (e.g., sugar processing) with a positive free energy</w:t>
      </w:r>
      <w:r w:rsidR="008867E4">
        <w:t xml:space="preserve"> change</w:t>
      </w:r>
      <w:r>
        <w:t>, making the overall paired reaction spontaneous. Physically, how might an enzyme work to couple two reactions, i.e., to ensure that they only proceed simultaneously?</w:t>
      </w:r>
    </w:p>
    <w:p w14:paraId="7F7BC905" w14:textId="77777777" w:rsidR="006773E2" w:rsidRDefault="006773E2" w:rsidP="006773E2"/>
    <w:p w14:paraId="6D6A4741" w14:textId="01E641D6" w:rsidR="006773E2" w:rsidRPr="006773E2" w:rsidRDefault="006773E2" w:rsidP="00521EEE">
      <w:pPr>
        <w:ind w:left="360" w:firstLine="360"/>
        <w:rPr>
          <w:color w:val="0000FF"/>
        </w:rPr>
      </w:pPr>
      <w:r>
        <w:rPr>
          <w:color w:val="0000FF"/>
        </w:rPr>
        <w:t>The active site can bring components from disparate reactions together.</w:t>
      </w:r>
    </w:p>
    <w:p w14:paraId="25D4BD2E" w14:textId="77777777" w:rsidR="006773E2" w:rsidRDefault="006773E2" w:rsidP="006773E2"/>
    <w:p w14:paraId="682C2A73" w14:textId="77777777" w:rsidR="00B82744" w:rsidRDefault="00022967" w:rsidP="00E85597">
      <w:pPr>
        <w:pStyle w:val="ListParagraph"/>
        <w:numPr>
          <w:ilvl w:val="0"/>
          <w:numId w:val="3"/>
        </w:numPr>
      </w:pPr>
      <w:r>
        <w:t xml:space="preserve">If ATP hydrolysis is </w:t>
      </w:r>
      <w:r w:rsidRPr="00574F20">
        <w:rPr>
          <w:i/>
        </w:rPr>
        <w:t>not</w:t>
      </w:r>
      <w:r>
        <w:t xml:space="preserve"> coupled to a cellular process, what happens to the released free energy?</w:t>
      </w:r>
    </w:p>
    <w:p w14:paraId="0165778A" w14:textId="77777777" w:rsidR="002A1CD6" w:rsidRDefault="002A1CD6" w:rsidP="00E85597"/>
    <w:p w14:paraId="742DFE86" w14:textId="238A5ABC" w:rsidR="00816A9A" w:rsidRPr="00816A9A" w:rsidRDefault="00816A9A" w:rsidP="00521EEE">
      <w:pPr>
        <w:ind w:left="360" w:firstLine="360"/>
        <w:rPr>
          <w:color w:val="0000FF"/>
        </w:rPr>
      </w:pPr>
      <w:r>
        <w:rPr>
          <w:color w:val="0000FF"/>
        </w:rPr>
        <w:t>Lost as heat.</w:t>
      </w:r>
    </w:p>
    <w:p w14:paraId="2CA7A2FB" w14:textId="77777777" w:rsidR="00B82744" w:rsidRDefault="00B82744" w:rsidP="00E85597"/>
    <w:p w14:paraId="6C0C5276" w14:textId="77777777" w:rsidR="00473EE7" w:rsidRDefault="00473EE7">
      <w:pPr>
        <w:rPr>
          <w:b/>
        </w:rPr>
      </w:pPr>
      <w:r>
        <w:rPr>
          <w:b/>
        </w:rPr>
        <w:br w:type="page"/>
      </w:r>
    </w:p>
    <w:p w14:paraId="00B031F2" w14:textId="677FCCC0" w:rsidR="00A033A3" w:rsidRPr="001576E0" w:rsidRDefault="000175F0">
      <w:pPr>
        <w:rPr>
          <w:b/>
        </w:rPr>
      </w:pPr>
      <w:r>
        <w:rPr>
          <w:b/>
        </w:rPr>
        <w:lastRenderedPageBreak/>
        <w:t>2</w:t>
      </w:r>
      <w:r w:rsidR="00022967" w:rsidRPr="001576E0">
        <w:rPr>
          <w:b/>
        </w:rPr>
        <w:t xml:space="preserve">. </w:t>
      </w:r>
      <w:r w:rsidR="00A033A3" w:rsidRPr="001576E0">
        <w:rPr>
          <w:b/>
        </w:rPr>
        <w:t>Protein-ligand binding</w:t>
      </w:r>
      <w:r w:rsidR="00807A4E" w:rsidRPr="001576E0">
        <w:rPr>
          <w:b/>
        </w:rPr>
        <w:t xml:space="preserve"> parameters</w:t>
      </w:r>
    </w:p>
    <w:p w14:paraId="0278C9CB" w14:textId="77777777" w:rsidR="00A033A3" w:rsidRDefault="00A033A3"/>
    <w:p w14:paraId="6EE20FAF" w14:textId="77777777" w:rsidR="00022967" w:rsidRDefault="00022967">
      <w:r>
        <w:t xml:space="preserve">A simple model for a ligand </w:t>
      </w:r>
      <w:r w:rsidRPr="00D00334">
        <w:rPr>
          <w:i/>
        </w:rPr>
        <w:t>L</w:t>
      </w:r>
      <w:r>
        <w:t xml:space="preserve"> binding to a protein can be written </w:t>
      </w:r>
      <w:r w:rsidRPr="00D00334">
        <w:rPr>
          <w:i/>
        </w:rPr>
        <w:t>y</w:t>
      </w:r>
      <w:r>
        <w:t xml:space="preserve"> = </w:t>
      </w:r>
      <w:r w:rsidRPr="00D00334">
        <w:rPr>
          <w:i/>
        </w:rPr>
        <w:t>L</w:t>
      </w:r>
      <w:r>
        <w:t>/</w:t>
      </w:r>
      <w:r w:rsidR="00F40116">
        <w:t>(</w:t>
      </w:r>
      <w:r w:rsidRPr="00D00334">
        <w:rPr>
          <w:i/>
        </w:rPr>
        <w:t>L</w:t>
      </w:r>
      <w:r>
        <w:t>+</w:t>
      </w:r>
      <w:r w:rsidRPr="002A3178">
        <w:rPr>
          <w:i/>
        </w:rPr>
        <w:t>K</w:t>
      </w:r>
      <w:r w:rsidRPr="002A3178">
        <w:rPr>
          <w:i/>
          <w:vertAlign w:val="subscript"/>
        </w:rPr>
        <w:t>D</w:t>
      </w:r>
      <w:r w:rsidR="00F40116">
        <w:t>),</w:t>
      </w:r>
      <w:r>
        <w:t xml:space="preserve"> where y is the fraction of the protein that is bound, and K</w:t>
      </w:r>
      <w:r w:rsidRPr="00F40116">
        <w:rPr>
          <w:vertAlign w:val="subscript"/>
        </w:rPr>
        <w:t>D</w:t>
      </w:r>
      <w:r>
        <w:t xml:space="preserve"> is the dissociation </w:t>
      </w:r>
      <w:r w:rsidR="00F40116">
        <w:t>constant</w:t>
      </w:r>
      <w:r w:rsidR="006E017A">
        <w:t xml:space="preserve"> of the reaction</w:t>
      </w:r>
      <w:r>
        <w:t>.</w:t>
      </w:r>
    </w:p>
    <w:p w14:paraId="71809A53" w14:textId="77777777" w:rsidR="00022967" w:rsidRDefault="00022967" w:rsidP="00C15EDE"/>
    <w:p w14:paraId="6DAD5EE8" w14:textId="77777777" w:rsidR="00022967" w:rsidRDefault="00022967" w:rsidP="00746624">
      <w:pPr>
        <w:pStyle w:val="ListParagraph"/>
        <w:numPr>
          <w:ilvl w:val="0"/>
          <w:numId w:val="2"/>
        </w:numPr>
      </w:pPr>
      <w:r>
        <w:t xml:space="preserve">Sketch the curve </w:t>
      </w:r>
      <w:r w:rsidRPr="00D00334">
        <w:rPr>
          <w:i/>
        </w:rPr>
        <w:t>y</w:t>
      </w:r>
      <w:r>
        <w:t xml:space="preserve"> vs. </w:t>
      </w:r>
      <w:r w:rsidRPr="00D00334">
        <w:rPr>
          <w:i/>
        </w:rPr>
        <w:t>L</w:t>
      </w:r>
      <w:r w:rsidR="006C218F">
        <w:t xml:space="preserve">. </w:t>
      </w:r>
      <w:r w:rsidR="00D00334">
        <w:t>To do so, explicitly c</w:t>
      </w:r>
      <w:r>
        <w:t>onsider how t</w:t>
      </w:r>
      <w:r w:rsidR="006C218F">
        <w:t xml:space="preserve">he </w:t>
      </w:r>
      <w:r w:rsidRPr="00D00334">
        <w:rPr>
          <w:i/>
        </w:rPr>
        <w:t>L</w:t>
      </w:r>
      <w:proofErr w:type="gramStart"/>
      <w:r>
        <w:t>:</w:t>
      </w:r>
      <w:r w:rsidRPr="002A3178">
        <w:rPr>
          <w:i/>
        </w:rPr>
        <w:t>K</w:t>
      </w:r>
      <w:r w:rsidRPr="002A3178">
        <w:rPr>
          <w:i/>
          <w:vertAlign w:val="subscript"/>
        </w:rPr>
        <w:t>D</w:t>
      </w:r>
      <w:proofErr w:type="gramEnd"/>
      <w:r>
        <w:t xml:space="preserve"> </w:t>
      </w:r>
      <w:r w:rsidR="006C218F">
        <w:t xml:space="preserve">ratio </w:t>
      </w:r>
      <w:r>
        <w:t xml:space="preserve">affects </w:t>
      </w:r>
      <w:r w:rsidR="00D00334">
        <w:t xml:space="preserve">the magnitude of </w:t>
      </w:r>
      <w:r w:rsidR="00D00334" w:rsidRPr="00D00334">
        <w:rPr>
          <w:i/>
        </w:rPr>
        <w:t>y</w:t>
      </w:r>
      <w:r w:rsidR="00D00334">
        <w:t>.</w:t>
      </w:r>
    </w:p>
    <w:p w14:paraId="571074BF" w14:textId="77777777" w:rsidR="001A1989" w:rsidRDefault="001A1989" w:rsidP="001A1989"/>
    <w:p w14:paraId="71BC8B03" w14:textId="3CF936F8" w:rsidR="001A1989" w:rsidRPr="001A1989" w:rsidRDefault="001A1989" w:rsidP="003C0D76">
      <w:pPr>
        <w:ind w:left="720"/>
        <w:rPr>
          <w:color w:val="0000FF"/>
        </w:rPr>
      </w:pPr>
      <w:r>
        <w:rPr>
          <w:color w:val="0000FF"/>
        </w:rPr>
        <w:t xml:space="preserve">Consider </w:t>
      </w:r>
      <w:proofErr w:type="spellStart"/>
      <w:r>
        <w:rPr>
          <w:color w:val="0000FF"/>
        </w:rPr>
        <w:t>extrema</w:t>
      </w:r>
      <w:proofErr w:type="spellEnd"/>
      <w:r>
        <w:rPr>
          <w:color w:val="0000FF"/>
        </w:rPr>
        <w:t xml:space="preserve"> (L&gt;&gt; or &lt;&lt; KD) and equality (L=KD) to determine </w:t>
      </w:r>
      <w:proofErr w:type="gramStart"/>
      <w:r w:rsidRPr="001A1989">
        <w:rPr>
          <w:i/>
          <w:color w:val="0000FF"/>
        </w:rPr>
        <w:t>y</w:t>
      </w:r>
      <w:r>
        <w:rPr>
          <w:color w:val="0000FF"/>
        </w:rPr>
        <w:t xml:space="preserve"> </w:t>
      </w:r>
      <w:r w:rsidR="003C0D76">
        <w:rPr>
          <w:color w:val="0000FF"/>
        </w:rPr>
        <w:t xml:space="preserve"> </w:t>
      </w:r>
      <w:r>
        <w:rPr>
          <w:color w:val="0000FF"/>
        </w:rPr>
        <w:t>values</w:t>
      </w:r>
      <w:proofErr w:type="gramEnd"/>
      <w:r>
        <w:rPr>
          <w:color w:val="0000FF"/>
        </w:rPr>
        <w:t>/equations</w:t>
      </w:r>
      <w:r w:rsidR="00571D43">
        <w:rPr>
          <w:color w:val="0000FF"/>
        </w:rPr>
        <w:t xml:space="preserve"> as 1, linear, and 0.5 </w:t>
      </w:r>
      <w:r>
        <w:rPr>
          <w:color w:val="0000FF"/>
        </w:rPr>
        <w:t>.</w:t>
      </w:r>
    </w:p>
    <w:p w14:paraId="41EB0F73" w14:textId="77777777" w:rsidR="001A1989" w:rsidRDefault="001A1989" w:rsidP="001A1989"/>
    <w:p w14:paraId="2F1ED4C1" w14:textId="77777777" w:rsidR="007A0F2E" w:rsidRDefault="00022967" w:rsidP="00DB4D4A">
      <w:pPr>
        <w:pStyle w:val="ListParagraph"/>
        <w:numPr>
          <w:ilvl w:val="0"/>
          <w:numId w:val="2"/>
        </w:numPr>
      </w:pPr>
      <w:r>
        <w:t xml:space="preserve">The curve from part a) </w:t>
      </w:r>
      <w:r w:rsidR="00451C17">
        <w:t>can</w:t>
      </w:r>
      <w:r>
        <w:t xml:space="preserve"> represent</w:t>
      </w:r>
      <w:r w:rsidR="00451C17">
        <w:t xml:space="preserve"> </w:t>
      </w:r>
      <w:r>
        <w:t xml:space="preserve">the oxygen-binding protein myoglobin. Whereas </w:t>
      </w:r>
      <w:proofErr w:type="spellStart"/>
      <w:r>
        <w:t>myglobin</w:t>
      </w:r>
      <w:proofErr w:type="spellEnd"/>
      <w:r>
        <w:t xml:space="preserve"> has one site for binding oxygen, hemoglobin has four sites that are strongly positively cooperative. It also has a lower affinity for oxygen than does myoglobin. </w:t>
      </w:r>
      <w:r w:rsidR="00451C17">
        <w:t>Draw</w:t>
      </w:r>
      <w:r>
        <w:t xml:space="preserve"> </w:t>
      </w:r>
      <w:r w:rsidR="00AB6680">
        <w:t>both proteins’ binding curves</w:t>
      </w:r>
      <w:r w:rsidR="00451C17">
        <w:t xml:space="preserve"> on the same plot and discuss</w:t>
      </w:r>
      <w:r w:rsidR="00D00334">
        <w:t xml:space="preserve"> them</w:t>
      </w:r>
      <w:r w:rsidR="00AB6680">
        <w:t>.</w:t>
      </w:r>
    </w:p>
    <w:p w14:paraId="4CD4CE4C" w14:textId="77777777" w:rsidR="00022967" w:rsidRDefault="00022967" w:rsidP="00AD0AD9"/>
    <w:p w14:paraId="416AA3DC" w14:textId="4D8132F6" w:rsidR="009B4E72" w:rsidRDefault="009B4E72" w:rsidP="003C0D76">
      <w:pPr>
        <w:ind w:left="360" w:firstLine="360"/>
        <w:rPr>
          <w:color w:val="0000FF"/>
        </w:rPr>
      </w:pPr>
      <w:r>
        <w:rPr>
          <w:color w:val="0000FF"/>
        </w:rPr>
        <w:t>Myoglobin should start at 0, increase linearly at first, then curve and plateau.</w:t>
      </w:r>
    </w:p>
    <w:p w14:paraId="7B141BF3" w14:textId="708CE09B" w:rsidR="009B4E72" w:rsidRPr="009B4E72" w:rsidRDefault="009B4E72" w:rsidP="003C0D76">
      <w:pPr>
        <w:ind w:left="360" w:firstLine="360"/>
        <w:rPr>
          <w:color w:val="0000FF"/>
        </w:rPr>
      </w:pPr>
      <w:r>
        <w:rPr>
          <w:color w:val="0000FF"/>
        </w:rPr>
        <w:t xml:space="preserve">Hemoglobin should display a sigmoidal shape. </w:t>
      </w:r>
    </w:p>
    <w:p w14:paraId="331D034B" w14:textId="77777777" w:rsidR="009B4E72" w:rsidRDefault="009B4E72" w:rsidP="00AD0AD9"/>
    <w:p w14:paraId="614437F6" w14:textId="77777777" w:rsidR="00935DC0" w:rsidRDefault="00935DC0" w:rsidP="00B82744"/>
    <w:p w14:paraId="1123B728" w14:textId="79A3EC72" w:rsidR="00B82744" w:rsidRPr="001576E0" w:rsidRDefault="000175F0" w:rsidP="00B82744">
      <w:pPr>
        <w:rPr>
          <w:b/>
        </w:rPr>
      </w:pPr>
      <w:r>
        <w:rPr>
          <w:b/>
        </w:rPr>
        <w:t>3</w:t>
      </w:r>
      <w:r w:rsidR="00B82744" w:rsidRPr="001576E0">
        <w:rPr>
          <w:b/>
        </w:rPr>
        <w:t xml:space="preserve">.  Conformational entropy </w:t>
      </w:r>
    </w:p>
    <w:p w14:paraId="22362464" w14:textId="77777777" w:rsidR="00746624" w:rsidRDefault="00746624" w:rsidP="00B82744"/>
    <w:p w14:paraId="121EE646" w14:textId="77777777" w:rsidR="00746624" w:rsidRDefault="00B82744" w:rsidP="00B82744">
      <w:r>
        <w:t>Discuss the Boltzmann formulation of entropy (</w:t>
      </w:r>
      <w:r w:rsidRPr="002A3178">
        <w:rPr>
          <w:i/>
        </w:rPr>
        <w:t>S</w:t>
      </w:r>
      <w:r>
        <w:t xml:space="preserve"> = </w:t>
      </w:r>
      <w:r w:rsidRPr="002A3178">
        <w:rPr>
          <w:i/>
        </w:rPr>
        <w:t>k</w:t>
      </w:r>
      <w:r>
        <w:t xml:space="preserve"> </w:t>
      </w:r>
      <w:proofErr w:type="spellStart"/>
      <w:r>
        <w:t>ln</w:t>
      </w:r>
      <w:proofErr w:type="spellEnd"/>
      <w:r>
        <w:t xml:space="preserve"> </w:t>
      </w:r>
      <w:r w:rsidRPr="002A3178">
        <w:rPr>
          <w:i/>
        </w:rPr>
        <w:t>W</w:t>
      </w:r>
      <w:r>
        <w:t>), and apply it to a simple biological example. For example, you might talk about protein folding.</w:t>
      </w:r>
    </w:p>
    <w:p w14:paraId="4674CC05" w14:textId="77777777" w:rsidR="00B82744" w:rsidRDefault="00B82744" w:rsidP="00B82744"/>
    <w:p w14:paraId="09C3A553" w14:textId="77777777" w:rsidR="00FA07CB" w:rsidRDefault="00B82744" w:rsidP="00B82744">
      <w:pPr>
        <w:pStyle w:val="ListParagraph"/>
        <w:numPr>
          <w:ilvl w:val="0"/>
          <w:numId w:val="4"/>
        </w:numPr>
      </w:pPr>
      <w:r>
        <w:t xml:space="preserve">If you model the native protein as having precisely one state, what is its entropy? How realistic is this model? </w:t>
      </w:r>
    </w:p>
    <w:p w14:paraId="05DC5AFA" w14:textId="77777777" w:rsidR="001C3CB1" w:rsidRDefault="001C3CB1" w:rsidP="001C3CB1"/>
    <w:p w14:paraId="7E85C00B" w14:textId="1CBD40E0" w:rsidR="001C3CB1" w:rsidRPr="00496E8B" w:rsidRDefault="00496E8B" w:rsidP="00F61AA0">
      <w:pPr>
        <w:ind w:left="360" w:firstLine="360"/>
        <w:rPr>
          <w:color w:val="0000FF"/>
        </w:rPr>
      </w:pPr>
      <w:r>
        <w:rPr>
          <w:color w:val="0000FF"/>
        </w:rPr>
        <w:t xml:space="preserve">S = k </w:t>
      </w:r>
      <w:proofErr w:type="spellStart"/>
      <w:proofErr w:type="gramStart"/>
      <w:r>
        <w:rPr>
          <w:color w:val="0000FF"/>
        </w:rPr>
        <w:t>ln</w:t>
      </w:r>
      <w:proofErr w:type="spellEnd"/>
      <w:r>
        <w:rPr>
          <w:color w:val="0000FF"/>
        </w:rPr>
        <w:t>(</w:t>
      </w:r>
      <w:proofErr w:type="gramEnd"/>
      <w:r>
        <w:rPr>
          <w:color w:val="0000FF"/>
        </w:rPr>
        <w:t>1) = 0! But there may be a few equivalent states</w:t>
      </w:r>
      <w:r w:rsidR="00B3724E">
        <w:rPr>
          <w:color w:val="0000FF"/>
        </w:rPr>
        <w:t>, probably not realistic</w:t>
      </w:r>
      <w:r>
        <w:rPr>
          <w:color w:val="0000FF"/>
        </w:rPr>
        <w:t>.</w:t>
      </w:r>
    </w:p>
    <w:p w14:paraId="6EDF106B" w14:textId="77777777" w:rsidR="001C3CB1" w:rsidRDefault="001C3CB1" w:rsidP="001C3CB1"/>
    <w:p w14:paraId="31AA1BE6" w14:textId="77777777" w:rsidR="00B82744" w:rsidRDefault="00B82744" w:rsidP="00746624">
      <w:pPr>
        <w:pStyle w:val="ListParagraph"/>
        <w:numPr>
          <w:ilvl w:val="0"/>
          <w:numId w:val="4"/>
        </w:numPr>
      </w:pPr>
      <w:r>
        <w:t xml:space="preserve">What is the entropy of a protein with N amino acids and 2 available orientations per bond (bond angles), if it samples all possible conformations? Does sampling this many conformations seem physically feasible? </w:t>
      </w:r>
    </w:p>
    <w:p w14:paraId="4CB0C6CF" w14:textId="77777777" w:rsidR="00F02F2B" w:rsidRDefault="00F02F2B" w:rsidP="00F02F2B"/>
    <w:p w14:paraId="236E8048" w14:textId="787E63C8" w:rsidR="00B3724E" w:rsidRPr="00B3724E" w:rsidRDefault="00B3724E" w:rsidP="00F61AA0">
      <w:pPr>
        <w:ind w:left="720"/>
        <w:rPr>
          <w:color w:val="0000FF"/>
        </w:rPr>
      </w:pPr>
      <w:r w:rsidRPr="00B3724E">
        <w:rPr>
          <w:color w:val="0000FF"/>
        </w:rPr>
        <w:t>Multiplicity</w:t>
      </w:r>
      <w:r>
        <w:rPr>
          <w:color w:val="0000FF"/>
        </w:rPr>
        <w:t xml:space="preserve"> is at least 2^N (depending on assumptions about bonds). And N is at least on order of 100. So S = k </w:t>
      </w:r>
      <w:proofErr w:type="spellStart"/>
      <w:r>
        <w:rPr>
          <w:color w:val="0000FF"/>
        </w:rPr>
        <w:t>ln</w:t>
      </w:r>
      <w:proofErr w:type="spellEnd"/>
      <w:r>
        <w:rPr>
          <w:color w:val="0000FF"/>
        </w:rPr>
        <w:t xml:space="preserve"> (2^100) is not feasible to sample</w:t>
      </w:r>
      <w:r w:rsidR="009E5B28">
        <w:rPr>
          <w:color w:val="0000FF"/>
        </w:rPr>
        <w:t xml:space="preserve"> completely</w:t>
      </w:r>
      <w:r>
        <w:rPr>
          <w:color w:val="0000FF"/>
        </w:rPr>
        <w:t>.</w:t>
      </w:r>
    </w:p>
    <w:p w14:paraId="2A088083" w14:textId="77777777" w:rsidR="00F02F2B" w:rsidRDefault="00F02F2B" w:rsidP="00F02F2B">
      <w:pPr>
        <w:ind w:left="360"/>
      </w:pPr>
    </w:p>
    <w:p w14:paraId="65FD099D" w14:textId="77777777" w:rsidR="00B82744" w:rsidRDefault="00B82744" w:rsidP="00B82744">
      <w:pPr>
        <w:pStyle w:val="ListParagraph"/>
        <w:numPr>
          <w:ilvl w:val="0"/>
          <w:numId w:val="4"/>
        </w:numPr>
      </w:pPr>
      <w:r>
        <w:t>Consider the protein as a system of interest. If its entropy decreases on folding</w:t>
      </w:r>
      <w:proofErr w:type="gramStart"/>
      <w:r>
        <w:t>,  what</w:t>
      </w:r>
      <w:proofErr w:type="gramEnd"/>
      <w:r>
        <w:t xml:space="preserve"> must happen to the entropy of the surroundings, and by what processes might this </w:t>
      </w:r>
      <w:r w:rsidR="00861187">
        <w:t xml:space="preserve">change </w:t>
      </w:r>
      <w:r>
        <w:t>occur?</w:t>
      </w:r>
    </w:p>
    <w:p w14:paraId="3766BBAE" w14:textId="77777777" w:rsidR="00B82744" w:rsidRDefault="00B82744" w:rsidP="00B82744">
      <w:pPr>
        <w:pStyle w:val="ListParagraph"/>
      </w:pPr>
    </w:p>
    <w:p w14:paraId="59C719B2" w14:textId="7741124E" w:rsidR="009E5B28" w:rsidRPr="00C62145" w:rsidRDefault="00FE58E3" w:rsidP="00F61AA0">
      <w:pPr>
        <w:ind w:left="360" w:firstLine="360"/>
        <w:rPr>
          <w:color w:val="0000FF"/>
        </w:rPr>
      </w:pPr>
      <w:r>
        <w:rPr>
          <w:color w:val="0000FF"/>
        </w:rPr>
        <w:t xml:space="preserve">Entropy of surroundings should go up. </w:t>
      </w:r>
      <w:proofErr w:type="gramStart"/>
      <w:r>
        <w:rPr>
          <w:color w:val="0000FF"/>
        </w:rPr>
        <w:t>Order of water decreases.</w:t>
      </w:r>
      <w:proofErr w:type="gramEnd"/>
    </w:p>
    <w:p w14:paraId="4631A133" w14:textId="77777777" w:rsidR="009E5B28" w:rsidRDefault="009E5B28" w:rsidP="00B82744">
      <w:pPr>
        <w:pStyle w:val="ListParagraph"/>
      </w:pPr>
    </w:p>
    <w:p w14:paraId="4715314C" w14:textId="77777777" w:rsidR="00DB0357" w:rsidRDefault="00DB0357" w:rsidP="00510C01">
      <w:pPr>
        <w:rPr>
          <w:b/>
        </w:rPr>
      </w:pPr>
    </w:p>
    <w:p w14:paraId="1311020F" w14:textId="77777777" w:rsidR="00DB0357" w:rsidRDefault="00DB0357" w:rsidP="00510C01">
      <w:pPr>
        <w:rPr>
          <w:b/>
        </w:rPr>
      </w:pPr>
    </w:p>
    <w:p w14:paraId="0E88BDF0" w14:textId="77777777" w:rsidR="00DB0357" w:rsidRDefault="00DB0357" w:rsidP="00510C01">
      <w:pPr>
        <w:rPr>
          <w:b/>
        </w:rPr>
      </w:pPr>
    </w:p>
    <w:p w14:paraId="7B3ACE69" w14:textId="0420EE9B" w:rsidR="001576E0" w:rsidRDefault="000175F0" w:rsidP="00510C01">
      <w:pPr>
        <w:rPr>
          <w:b/>
        </w:rPr>
      </w:pPr>
      <w:r>
        <w:rPr>
          <w:b/>
        </w:rPr>
        <w:lastRenderedPageBreak/>
        <w:t>4</w:t>
      </w:r>
      <w:r w:rsidR="00510C01" w:rsidRPr="001576E0">
        <w:rPr>
          <w:b/>
        </w:rPr>
        <w:t xml:space="preserve">.  </w:t>
      </w:r>
      <w:r w:rsidR="00564F78" w:rsidRPr="001576E0">
        <w:rPr>
          <w:b/>
        </w:rPr>
        <w:t>Metabolic network adaptation</w:t>
      </w:r>
    </w:p>
    <w:p w14:paraId="1A0D87EF" w14:textId="77777777" w:rsidR="00746624" w:rsidRPr="001576E0" w:rsidRDefault="00746624" w:rsidP="00510C01">
      <w:pPr>
        <w:rPr>
          <w:b/>
        </w:rPr>
      </w:pPr>
    </w:p>
    <w:p w14:paraId="1424A3FC" w14:textId="77777777" w:rsidR="00AF7609" w:rsidRDefault="00510C01" w:rsidP="00510C01">
      <w:r>
        <w:t>Describe the role of Hif-1</w:t>
      </w:r>
      <w:r w:rsidRPr="007E4442">
        <w:rPr>
          <w:rFonts w:ascii="Symbol" w:hAnsi="Symbol"/>
        </w:rPr>
        <w:t></w:t>
      </w:r>
      <w:r>
        <w:t xml:space="preserve"> in the mechanism by which metabolic networks adapt at the gene expression level to varying pO</w:t>
      </w:r>
      <w:r w:rsidRPr="007E4442">
        <w:rPr>
          <w:vertAlign w:val="subscript"/>
        </w:rPr>
        <w:t>2</w:t>
      </w:r>
      <w:r>
        <w:t xml:space="preserve">.  Consider cells that are near a source of oxygen (e.g., a blood vessel; call this situation zone A) and cells that are remote from it (call this zone B).  </w:t>
      </w:r>
    </w:p>
    <w:p w14:paraId="5CB3AAF3" w14:textId="77777777" w:rsidR="00AF7609" w:rsidRDefault="00AF7609" w:rsidP="00510C01"/>
    <w:p w14:paraId="43374AE6" w14:textId="2EC1FF6E" w:rsidR="002C114C" w:rsidRDefault="00A51E90" w:rsidP="00510C01">
      <w:pPr>
        <w:rPr>
          <w:color w:val="0000FF"/>
        </w:rPr>
      </w:pPr>
      <w:r w:rsidRPr="00930EDA">
        <w:rPr>
          <w:color w:val="0000FF"/>
        </w:rPr>
        <w:t>As pO</w:t>
      </w:r>
      <w:r w:rsidRPr="00930EDA">
        <w:rPr>
          <w:color w:val="0000FF"/>
          <w:vertAlign w:val="subscript"/>
        </w:rPr>
        <w:t>2</w:t>
      </w:r>
      <w:r w:rsidRPr="00930EDA">
        <w:rPr>
          <w:color w:val="0000FF"/>
        </w:rPr>
        <w:t xml:space="preserve"> decreases, </w:t>
      </w:r>
      <w:proofErr w:type="spellStart"/>
      <w:r w:rsidRPr="00930EDA">
        <w:rPr>
          <w:color w:val="0000FF"/>
        </w:rPr>
        <w:t>Hif</w:t>
      </w:r>
      <w:proofErr w:type="spellEnd"/>
      <w:r w:rsidRPr="00930EDA">
        <w:rPr>
          <w:color w:val="0000FF"/>
        </w:rPr>
        <w:t xml:space="preserve"> 1-alpha expression increases (hence Hypoxia-Inducible Factor)</w:t>
      </w:r>
      <w:r w:rsidR="005F2005" w:rsidRPr="00930EDA">
        <w:rPr>
          <w:color w:val="0000FF"/>
        </w:rPr>
        <w:t>.</w:t>
      </w:r>
      <w:r w:rsidR="00B66203">
        <w:rPr>
          <w:color w:val="0000FF"/>
        </w:rPr>
        <w:t xml:space="preserve"> </w:t>
      </w:r>
      <w:r w:rsidR="00304493">
        <w:rPr>
          <w:color w:val="0000FF"/>
        </w:rPr>
        <w:t xml:space="preserve">At high oxygen tension, </w:t>
      </w:r>
      <w:proofErr w:type="spellStart"/>
      <w:r w:rsidR="003417FF">
        <w:rPr>
          <w:color w:val="0000FF"/>
        </w:rPr>
        <w:t>Hif</w:t>
      </w:r>
      <w:proofErr w:type="spellEnd"/>
      <w:r w:rsidR="003417FF">
        <w:rPr>
          <w:color w:val="0000FF"/>
        </w:rPr>
        <w:t xml:space="preserve"> is marked for degradation. </w:t>
      </w:r>
      <w:r w:rsidR="00C96B20">
        <w:rPr>
          <w:color w:val="0000FF"/>
        </w:rPr>
        <w:t xml:space="preserve">At low oxygen tension, </w:t>
      </w:r>
      <w:proofErr w:type="spellStart"/>
      <w:r w:rsidR="00C96B20">
        <w:rPr>
          <w:color w:val="0000FF"/>
        </w:rPr>
        <w:t>Hif</w:t>
      </w:r>
      <w:proofErr w:type="spellEnd"/>
      <w:r w:rsidR="00C96B20">
        <w:rPr>
          <w:color w:val="0000FF"/>
        </w:rPr>
        <w:t xml:space="preserve"> </w:t>
      </w:r>
      <w:r w:rsidR="00DF1F35">
        <w:rPr>
          <w:color w:val="0000FF"/>
        </w:rPr>
        <w:t>becomes</w:t>
      </w:r>
      <w:r w:rsidR="009E5B11">
        <w:rPr>
          <w:color w:val="0000FF"/>
        </w:rPr>
        <w:t xml:space="preserve"> </w:t>
      </w:r>
      <w:r w:rsidR="007936C8">
        <w:rPr>
          <w:color w:val="0000FF"/>
        </w:rPr>
        <w:t>active</w:t>
      </w:r>
      <w:r w:rsidR="000708B6">
        <w:rPr>
          <w:color w:val="0000FF"/>
        </w:rPr>
        <w:t>,</w:t>
      </w:r>
      <w:r w:rsidR="00EA1DB2">
        <w:rPr>
          <w:color w:val="0000FF"/>
        </w:rPr>
        <w:t xml:space="preserve"> and</w:t>
      </w:r>
      <w:r w:rsidR="000708B6">
        <w:rPr>
          <w:color w:val="0000FF"/>
        </w:rPr>
        <w:t xml:space="preserve"> this transcription factor</w:t>
      </w:r>
      <w:r w:rsidR="00EA1DB2">
        <w:rPr>
          <w:color w:val="0000FF"/>
        </w:rPr>
        <w:t xml:space="preserve"> affects</w:t>
      </w:r>
      <w:r w:rsidR="00C96B20">
        <w:rPr>
          <w:color w:val="0000FF"/>
        </w:rPr>
        <w:t xml:space="preserve"> </w:t>
      </w:r>
      <w:r w:rsidR="00241238">
        <w:rPr>
          <w:color w:val="0000FF"/>
        </w:rPr>
        <w:t xml:space="preserve">target </w:t>
      </w:r>
      <w:r w:rsidR="00C96B20">
        <w:rPr>
          <w:color w:val="0000FF"/>
        </w:rPr>
        <w:t>genes related to</w:t>
      </w:r>
      <w:r w:rsidR="006826D3">
        <w:rPr>
          <w:color w:val="0000FF"/>
        </w:rPr>
        <w:t xml:space="preserve"> angiogenesis</w:t>
      </w:r>
      <w:r w:rsidR="00474E5B">
        <w:rPr>
          <w:color w:val="0000FF"/>
        </w:rPr>
        <w:t xml:space="preserve"> and</w:t>
      </w:r>
      <w:r w:rsidR="006826D3">
        <w:rPr>
          <w:color w:val="0000FF"/>
        </w:rPr>
        <w:t xml:space="preserve"> cell survival, </w:t>
      </w:r>
      <w:r w:rsidR="00474E5B">
        <w:rPr>
          <w:color w:val="0000FF"/>
        </w:rPr>
        <w:t xml:space="preserve">among </w:t>
      </w:r>
      <w:r w:rsidR="001A0E59">
        <w:rPr>
          <w:color w:val="0000FF"/>
        </w:rPr>
        <w:t xml:space="preserve">many </w:t>
      </w:r>
      <w:r w:rsidR="00474E5B">
        <w:rPr>
          <w:color w:val="0000FF"/>
        </w:rPr>
        <w:t>others</w:t>
      </w:r>
      <w:r w:rsidR="006826D3">
        <w:rPr>
          <w:color w:val="0000FF"/>
        </w:rPr>
        <w:t xml:space="preserve">. </w:t>
      </w:r>
      <w:r w:rsidR="00EA1DB2">
        <w:rPr>
          <w:color w:val="0000FF"/>
        </w:rPr>
        <w:t>I</w:t>
      </w:r>
      <w:r w:rsidR="006826D3">
        <w:rPr>
          <w:color w:val="0000FF"/>
        </w:rPr>
        <w:t xml:space="preserve">ron metabolism </w:t>
      </w:r>
      <w:r w:rsidR="00C3184A">
        <w:rPr>
          <w:color w:val="0000FF"/>
        </w:rPr>
        <w:t>adaptations</w:t>
      </w:r>
      <w:r w:rsidR="00982610">
        <w:rPr>
          <w:color w:val="0000FF"/>
        </w:rPr>
        <w:t xml:space="preserve"> triggered by </w:t>
      </w:r>
      <w:proofErr w:type="spellStart"/>
      <w:r w:rsidR="00982610">
        <w:rPr>
          <w:color w:val="0000FF"/>
        </w:rPr>
        <w:t>Hif</w:t>
      </w:r>
      <w:proofErr w:type="spellEnd"/>
      <w:r w:rsidR="00982610">
        <w:rPr>
          <w:color w:val="0000FF"/>
        </w:rPr>
        <w:t xml:space="preserve"> regulation</w:t>
      </w:r>
      <w:r w:rsidR="00C3184A">
        <w:rPr>
          <w:color w:val="0000FF"/>
        </w:rPr>
        <w:t xml:space="preserve"> include</w:t>
      </w:r>
      <w:r w:rsidR="00EA1DB2">
        <w:rPr>
          <w:color w:val="0000FF"/>
        </w:rPr>
        <w:t xml:space="preserve"> </w:t>
      </w:r>
      <w:proofErr w:type="spellStart"/>
      <w:r w:rsidR="00EA1DB2">
        <w:rPr>
          <w:color w:val="0000FF"/>
        </w:rPr>
        <w:t>upregulat</w:t>
      </w:r>
      <w:r w:rsidR="006123B5">
        <w:rPr>
          <w:color w:val="0000FF"/>
        </w:rPr>
        <w:t>ion</w:t>
      </w:r>
      <w:proofErr w:type="spellEnd"/>
      <w:r w:rsidR="006123B5">
        <w:rPr>
          <w:color w:val="0000FF"/>
        </w:rPr>
        <w:t xml:space="preserve"> of</w:t>
      </w:r>
      <w:r w:rsidR="00EA1DB2">
        <w:rPr>
          <w:color w:val="0000FF"/>
        </w:rPr>
        <w:t xml:space="preserve"> </w:t>
      </w:r>
      <w:r w:rsidR="006903D0">
        <w:rPr>
          <w:color w:val="0000FF"/>
        </w:rPr>
        <w:t xml:space="preserve">genes related to </w:t>
      </w:r>
      <w:r w:rsidR="00EA1DB2">
        <w:rPr>
          <w:color w:val="0000FF"/>
        </w:rPr>
        <w:t xml:space="preserve">both transfer and oxidation. Glucose </w:t>
      </w:r>
      <w:r w:rsidR="00C314DC">
        <w:rPr>
          <w:color w:val="0000FF"/>
        </w:rPr>
        <w:t>metabolism adaptations include a shift</w:t>
      </w:r>
      <w:r w:rsidR="00EA1DB2">
        <w:rPr>
          <w:color w:val="0000FF"/>
        </w:rPr>
        <w:t xml:space="preserve"> to oxy</w:t>
      </w:r>
      <w:r w:rsidR="008E5912">
        <w:rPr>
          <w:color w:val="0000FF"/>
        </w:rPr>
        <w:t>g</w:t>
      </w:r>
      <w:r w:rsidR="00EA1DB2">
        <w:rPr>
          <w:color w:val="0000FF"/>
        </w:rPr>
        <w:t>en-independent glycolysis</w:t>
      </w:r>
      <w:r w:rsidR="00C71C06">
        <w:rPr>
          <w:color w:val="0000FF"/>
        </w:rPr>
        <w:t xml:space="preserve"> and </w:t>
      </w:r>
      <w:r w:rsidR="00C314DC">
        <w:rPr>
          <w:color w:val="0000FF"/>
        </w:rPr>
        <w:t>an increase in</w:t>
      </w:r>
      <w:r w:rsidR="00C71C06">
        <w:rPr>
          <w:color w:val="0000FF"/>
        </w:rPr>
        <w:t xml:space="preserve"> glucose uptake</w:t>
      </w:r>
      <w:r w:rsidR="00EA1DB2">
        <w:rPr>
          <w:color w:val="0000FF"/>
        </w:rPr>
        <w:t xml:space="preserve">. </w:t>
      </w:r>
      <w:r w:rsidR="00845707">
        <w:rPr>
          <w:color w:val="0000FF"/>
        </w:rPr>
        <w:t>Notably, o</w:t>
      </w:r>
      <w:r w:rsidR="00304493">
        <w:rPr>
          <w:color w:val="0000FF"/>
        </w:rPr>
        <w:t xml:space="preserve">verexpression of Hif-1alpha is present in some </w:t>
      </w:r>
      <w:r w:rsidR="00885737">
        <w:rPr>
          <w:color w:val="0000FF"/>
        </w:rPr>
        <w:t>tumors.</w:t>
      </w:r>
    </w:p>
    <w:p w14:paraId="7C12F4C8" w14:textId="77777777" w:rsidR="00E506E0" w:rsidRDefault="00E506E0" w:rsidP="00510C01">
      <w:pPr>
        <w:rPr>
          <w:color w:val="0000FF"/>
        </w:rPr>
      </w:pPr>
    </w:p>
    <w:p w14:paraId="7D825626" w14:textId="77777777" w:rsidR="00F2283B" w:rsidRDefault="00F2283B" w:rsidP="00510C01">
      <w:pPr>
        <w:rPr>
          <w:color w:val="0000FF"/>
        </w:rPr>
      </w:pPr>
    </w:p>
    <w:p w14:paraId="243FE3AF" w14:textId="6A111D8C" w:rsidR="00F2283B" w:rsidRPr="001576E0" w:rsidRDefault="000175F0" w:rsidP="00F2283B">
      <w:pPr>
        <w:rPr>
          <w:b/>
        </w:rPr>
      </w:pPr>
      <w:r>
        <w:rPr>
          <w:b/>
        </w:rPr>
        <w:t>5</w:t>
      </w:r>
      <w:r w:rsidR="00F2283B" w:rsidRPr="001576E0">
        <w:rPr>
          <w:b/>
        </w:rPr>
        <w:t>.  Proton availability in a cell</w:t>
      </w:r>
    </w:p>
    <w:p w14:paraId="420E823F" w14:textId="77777777" w:rsidR="00F2283B" w:rsidRDefault="00F2283B" w:rsidP="00F2283B"/>
    <w:p w14:paraId="41A78447" w14:textId="77777777" w:rsidR="00F2283B" w:rsidRDefault="00F2283B" w:rsidP="00F2283B">
      <w:r>
        <w:t xml:space="preserve">How many free protons are there in a cell?  </w:t>
      </w:r>
      <w:proofErr w:type="gramStart"/>
      <w:r>
        <w:t>A billion, a million, a hundred?</w:t>
      </w:r>
      <w:proofErr w:type="gramEnd"/>
      <w:r>
        <w:t xml:space="preserve">  We often take protons for granted because they are abundantly available to organic chemists, who are able to contrive reaction conditions to suit their purposes (see Figure).  In a cell, however, the situation may be different.  This problem involves calculation of the number of protons in an </w:t>
      </w:r>
      <w:r w:rsidRPr="00651C63">
        <w:rPr>
          <w:i/>
        </w:rPr>
        <w:t>E. coli</w:t>
      </w:r>
      <w:r>
        <w:t xml:space="preserve"> cell – that is, free protons available to participate in chemical reactions.  </w:t>
      </w:r>
    </w:p>
    <w:p w14:paraId="528A6604" w14:textId="77777777" w:rsidR="00F2283B" w:rsidRDefault="00F2283B" w:rsidP="00F2283B"/>
    <w:p w14:paraId="22789992" w14:textId="77777777" w:rsidR="00F2283B" w:rsidRDefault="00F2283B" w:rsidP="00F2283B">
      <w:pPr>
        <w:pStyle w:val="ListParagraph"/>
        <w:numPr>
          <w:ilvl w:val="0"/>
          <w:numId w:val="9"/>
        </w:numPr>
      </w:pPr>
      <w:r>
        <w:t>Please c</w:t>
      </w:r>
      <w:r w:rsidRPr="00651C63">
        <w:t>a</w:t>
      </w:r>
      <w:r>
        <w:t xml:space="preserve">lculate the volume of the cell, approximating it as a cylinder 1 micron wide and 2 microns long.   </w:t>
      </w:r>
    </w:p>
    <w:p w14:paraId="07A84205" w14:textId="77777777" w:rsidR="00F2283B" w:rsidRDefault="00F2283B" w:rsidP="00F2283B">
      <w:pPr>
        <w:ind w:left="1440"/>
      </w:pPr>
    </w:p>
    <w:p w14:paraId="5CF97455" w14:textId="77777777" w:rsidR="00F2283B" w:rsidRPr="0045092F" w:rsidRDefault="00F2283B" w:rsidP="00F2283B">
      <w:pPr>
        <w:rPr>
          <w:color w:val="0000FF"/>
        </w:rPr>
      </w:pPr>
      <w:r>
        <w:rPr>
          <w:color w:val="0000FF"/>
        </w:rPr>
        <w:tab/>
      </w:r>
      <w:r>
        <w:rPr>
          <w:color w:val="0000FF"/>
        </w:rPr>
        <w:tab/>
      </w:r>
      <m:oMath>
        <m:r>
          <w:rPr>
            <w:rFonts w:ascii="Cambria Math" w:hAnsi="Cambria Math"/>
            <w:color w:val="0000FF"/>
          </w:rPr>
          <m:t>V=π</m:t>
        </m:r>
        <m:sSup>
          <m:sSupPr>
            <m:ctrlPr>
              <w:rPr>
                <w:rFonts w:ascii="Cambria Math" w:hAnsi="Cambria Math"/>
                <w:i/>
                <w:color w:val="0000FF"/>
              </w:rPr>
            </m:ctrlPr>
          </m:sSupPr>
          <m:e>
            <m:r>
              <w:rPr>
                <w:rFonts w:ascii="Cambria Math" w:hAnsi="Cambria Math"/>
                <w:color w:val="0000FF"/>
              </w:rPr>
              <m:t>R</m:t>
            </m:r>
          </m:e>
          <m:sup>
            <m:r>
              <w:rPr>
                <w:rFonts w:ascii="Cambria Math" w:hAnsi="Cambria Math"/>
                <w:color w:val="0000FF"/>
              </w:rPr>
              <m:t>2</m:t>
            </m:r>
          </m:sup>
        </m:sSup>
        <m:r>
          <w:rPr>
            <w:rFonts w:ascii="Cambria Math" w:hAnsi="Cambria Math"/>
            <w:color w:val="0000FF"/>
          </w:rPr>
          <m:t>h</m:t>
        </m:r>
      </m:oMath>
      <w:r>
        <w:rPr>
          <w:color w:val="0000FF"/>
        </w:rPr>
        <w:t xml:space="preserve"> </w:t>
      </w:r>
      <w:proofErr w:type="gramStart"/>
      <w:r>
        <w:rPr>
          <w:color w:val="0000FF"/>
        </w:rPr>
        <w:t>yields</w:t>
      </w:r>
      <w:proofErr w:type="gramEnd"/>
      <w:r>
        <w:rPr>
          <w:color w:val="0000FF"/>
        </w:rPr>
        <w:t xml:space="preserve"> 1.571 * 10</w:t>
      </w:r>
      <w:r w:rsidRPr="0045092F">
        <w:rPr>
          <w:color w:val="0000FF"/>
          <w:vertAlign w:val="superscript"/>
        </w:rPr>
        <w:t>-12</w:t>
      </w:r>
      <w:r>
        <w:rPr>
          <w:color w:val="0000FF"/>
        </w:rPr>
        <w:t xml:space="preserve"> cm</w:t>
      </w:r>
      <w:r w:rsidRPr="0045092F">
        <w:rPr>
          <w:color w:val="0000FF"/>
          <w:vertAlign w:val="superscript"/>
        </w:rPr>
        <w:t>3</w:t>
      </w:r>
      <w:r>
        <w:rPr>
          <w:color w:val="0000FF"/>
        </w:rPr>
        <w:t xml:space="preserve"> when units are correctly </w:t>
      </w:r>
      <w:proofErr w:type="spellStart"/>
      <w:r>
        <w:rPr>
          <w:color w:val="0000FF"/>
        </w:rPr>
        <w:t>exponentiated</w:t>
      </w:r>
      <w:proofErr w:type="spellEnd"/>
    </w:p>
    <w:p w14:paraId="68F0DBC2" w14:textId="77777777" w:rsidR="00F2283B" w:rsidRDefault="00F2283B" w:rsidP="00F2283B"/>
    <w:p w14:paraId="7B2B9D7B" w14:textId="77777777" w:rsidR="00F2283B" w:rsidRDefault="00F2283B" w:rsidP="00F2283B">
      <w:pPr>
        <w:ind w:left="720"/>
      </w:pPr>
      <w:proofErr w:type="gramStart"/>
      <w:r>
        <w:t xml:space="preserve">b)  </w:t>
      </w:r>
      <w:r w:rsidRPr="00651C63">
        <w:t>Given</w:t>
      </w:r>
      <w:proofErr w:type="gramEnd"/>
      <w:r w:rsidRPr="00651C63">
        <w:t xml:space="preserve"> the volume of the</w:t>
      </w:r>
      <w:r w:rsidRPr="00651C63">
        <w:rPr>
          <w:i/>
          <w:iCs/>
        </w:rPr>
        <w:t xml:space="preserve"> </w:t>
      </w:r>
      <w:r w:rsidRPr="00651C63">
        <w:t>cell, at pH 7 how many protons are contained</w:t>
      </w:r>
      <w:r>
        <w:t xml:space="preserve"> within it</w:t>
      </w:r>
      <w:r w:rsidRPr="00651C63">
        <w:t xml:space="preserve">?  </w:t>
      </w:r>
    </w:p>
    <w:p w14:paraId="28DECAC4" w14:textId="77777777" w:rsidR="00F2283B" w:rsidRDefault="00F2283B" w:rsidP="00F2283B">
      <w:pPr>
        <w:ind w:left="720"/>
      </w:pPr>
    </w:p>
    <w:p w14:paraId="06158864" w14:textId="77777777" w:rsidR="00F2283B" w:rsidRDefault="00F2283B" w:rsidP="00F2283B">
      <w:pPr>
        <w:ind w:left="720" w:firstLine="720"/>
        <w:rPr>
          <w:color w:val="0000FF"/>
        </w:rPr>
      </w:pPr>
      <w:r>
        <w:rPr>
          <w:color w:val="0000FF"/>
        </w:rPr>
        <w:t>By definition, pH 7 means [H+] is 1*10</w:t>
      </w:r>
      <w:r w:rsidRPr="000D0718">
        <w:rPr>
          <w:color w:val="0000FF"/>
          <w:vertAlign w:val="superscript"/>
        </w:rPr>
        <w:t>-7</w:t>
      </w:r>
      <w:r>
        <w:rPr>
          <w:color w:val="0000FF"/>
        </w:rPr>
        <w:t xml:space="preserve"> </w:t>
      </w:r>
      <w:proofErr w:type="spellStart"/>
      <w:r>
        <w:rPr>
          <w:color w:val="0000FF"/>
        </w:rPr>
        <w:t>mol</w:t>
      </w:r>
      <w:proofErr w:type="spellEnd"/>
      <w:r>
        <w:rPr>
          <w:color w:val="0000FF"/>
        </w:rPr>
        <w:t>/L.</w:t>
      </w:r>
    </w:p>
    <w:p w14:paraId="031E06E0" w14:textId="77777777" w:rsidR="00F2283B" w:rsidRPr="000D0718" w:rsidRDefault="00F2283B" w:rsidP="00F2283B">
      <w:pPr>
        <w:ind w:left="720" w:firstLine="720"/>
        <w:rPr>
          <w:color w:val="0000FF"/>
        </w:rPr>
      </w:pPr>
      <w:r>
        <w:rPr>
          <w:color w:val="0000FF"/>
        </w:rPr>
        <w:t>Conversions to cm</w:t>
      </w:r>
      <w:r w:rsidRPr="000D0718">
        <w:rPr>
          <w:color w:val="0000FF"/>
          <w:vertAlign w:val="superscript"/>
        </w:rPr>
        <w:t>3</w:t>
      </w:r>
      <w:r>
        <w:rPr>
          <w:color w:val="0000FF"/>
        </w:rPr>
        <w:t xml:space="preserve"> and molecules/mole yields ~95 protons.</w:t>
      </w:r>
    </w:p>
    <w:p w14:paraId="31FA68BD" w14:textId="77777777" w:rsidR="00F2283B" w:rsidRDefault="00F2283B" w:rsidP="00F2283B">
      <w:pPr>
        <w:ind w:left="720"/>
      </w:pPr>
    </w:p>
    <w:p w14:paraId="6E90D853" w14:textId="77777777" w:rsidR="00F2283B" w:rsidRDefault="00F2283B" w:rsidP="00F2283B">
      <w:pPr>
        <w:ind w:left="720"/>
      </w:pPr>
      <w:proofErr w:type="gramStart"/>
      <w:r>
        <w:t xml:space="preserve">c)  </w:t>
      </w:r>
      <w:r w:rsidRPr="00651C63">
        <w:t>A</w:t>
      </w:r>
      <w:proofErr w:type="gramEnd"/>
      <w:r w:rsidRPr="00651C63">
        <w:t xml:space="preserve"> bacterial cell contains thousands of macromolecules such as proteins and nucleic acids that have </w:t>
      </w:r>
      <w:proofErr w:type="spellStart"/>
      <w:r w:rsidRPr="00651C63">
        <w:t>ionizable</w:t>
      </w:r>
      <w:proofErr w:type="spellEnd"/>
      <w:r w:rsidRPr="00651C63">
        <w:t xml:space="preserve"> groups. </w:t>
      </w:r>
      <w:r>
        <w:t xml:space="preserve"> </w:t>
      </w:r>
      <w:r w:rsidRPr="00651C63">
        <w:t>What does this calculation tell you about the role of the H+ and OH- in the chemistry of acid-base reactions in the cell?</w:t>
      </w:r>
      <w:r>
        <w:t xml:space="preserve">  </w:t>
      </w:r>
    </w:p>
    <w:p w14:paraId="45C7EBCD" w14:textId="77777777" w:rsidR="00F2283B" w:rsidRDefault="00F2283B" w:rsidP="00F2283B">
      <w:pPr>
        <w:ind w:left="720"/>
      </w:pPr>
    </w:p>
    <w:p w14:paraId="21ADF6DC" w14:textId="77777777" w:rsidR="00F2283B" w:rsidRDefault="00F2283B" w:rsidP="00F2283B">
      <w:pPr>
        <w:ind w:left="720" w:firstLine="720"/>
        <w:rPr>
          <w:color w:val="0000FF"/>
        </w:rPr>
      </w:pPr>
      <w:r>
        <w:rPr>
          <w:color w:val="0000FF"/>
        </w:rPr>
        <w:t>It appears that protons are limiting.</w:t>
      </w:r>
    </w:p>
    <w:p w14:paraId="4ABC1EAA" w14:textId="77777777" w:rsidR="006C3130" w:rsidRPr="000D5BED" w:rsidRDefault="006C3130" w:rsidP="00F2283B">
      <w:pPr>
        <w:ind w:left="720" w:firstLine="720"/>
        <w:rPr>
          <w:color w:val="0000FF"/>
        </w:rPr>
      </w:pPr>
    </w:p>
    <w:p w14:paraId="29E4122A" w14:textId="61438EF3" w:rsidR="00F2283B" w:rsidRDefault="006C3130" w:rsidP="00F2283B">
      <w:pPr>
        <w:ind w:left="720"/>
      </w:pPr>
      <w:r>
        <w:rPr>
          <w:noProof/>
        </w:rPr>
        <w:drawing>
          <wp:inline distT="0" distB="0" distL="0" distR="0" wp14:anchorId="77CFF850" wp14:editId="00760576">
            <wp:extent cx="5029200" cy="1209040"/>
            <wp:effectExtent l="0" t="0" r="0"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29200" cy="1209040"/>
                    </a:xfrm>
                    <a:prstGeom prst="rect">
                      <a:avLst/>
                    </a:prstGeom>
                    <a:noFill/>
                    <a:ln>
                      <a:noFill/>
                    </a:ln>
                  </pic:spPr>
                </pic:pic>
              </a:graphicData>
            </a:graphic>
          </wp:inline>
        </w:drawing>
      </w:r>
    </w:p>
    <w:p w14:paraId="2D99B099" w14:textId="02325DC2" w:rsidR="00F2283B" w:rsidRDefault="00F2283B" w:rsidP="00F2283B">
      <w:pPr>
        <w:ind w:left="720"/>
      </w:pPr>
    </w:p>
    <w:p w14:paraId="1195A812" w14:textId="183EB69D" w:rsidR="008B2B86" w:rsidRPr="006C3130" w:rsidRDefault="00510E3D" w:rsidP="00AF7609">
      <w:pPr>
        <w:rPr>
          <w:color w:val="0000FF"/>
        </w:rPr>
      </w:pPr>
      <w:r>
        <w:rPr>
          <w:b/>
        </w:rPr>
        <w:t>6</w:t>
      </w:r>
      <w:r w:rsidR="00AF7609" w:rsidRPr="001576E0">
        <w:rPr>
          <w:b/>
        </w:rPr>
        <w:t xml:space="preserve">.  </w:t>
      </w:r>
      <w:r w:rsidR="00CB2B92">
        <w:rPr>
          <w:b/>
        </w:rPr>
        <w:t>Protein mutant structure and thermodynamics</w:t>
      </w:r>
    </w:p>
    <w:p w14:paraId="355D7968" w14:textId="77777777" w:rsidR="008B2B86" w:rsidRDefault="008B2B86" w:rsidP="00AF7609">
      <w:pPr>
        <w:rPr>
          <w:b/>
        </w:rPr>
      </w:pPr>
    </w:p>
    <w:p w14:paraId="5E074D77" w14:textId="77777777" w:rsidR="00D41981" w:rsidRDefault="00FC6E72" w:rsidP="00B12AC2">
      <w:r>
        <w:t>Consider a</w:t>
      </w:r>
      <w:r w:rsidR="00B12AC2" w:rsidRPr="00B83A9D">
        <w:t xml:space="preserve"> </w:t>
      </w:r>
      <w:r w:rsidR="00B12AC2">
        <w:t>protein-protein interaction A+B &lt;-&gt;</w:t>
      </w:r>
      <w:r w:rsidR="00B12AC2" w:rsidRPr="00B83A9D">
        <w:t xml:space="preserve"> </w:t>
      </w:r>
      <w:r w:rsidR="00B12AC2">
        <w:t>C</w:t>
      </w:r>
      <w:r w:rsidR="00B12AC2" w:rsidRPr="00B83A9D">
        <w:t xml:space="preserve">, where </w:t>
      </w:r>
      <w:r w:rsidR="00B12AC2">
        <w:t>C is the complex</w:t>
      </w:r>
      <w:r w:rsidR="00B12AC2" w:rsidRPr="00B83A9D">
        <w:t xml:space="preserve">.  The ΔΔG values for the binding reactions of three mutants </w:t>
      </w:r>
      <w:r w:rsidR="00B12AC2">
        <w:t xml:space="preserve">of protein A </w:t>
      </w:r>
      <w:r w:rsidR="00B12AC2" w:rsidRPr="00B83A9D">
        <w:t>are shown below.  The wild-type protein</w:t>
      </w:r>
      <w:r w:rsidR="00B12AC2">
        <w:t xml:space="preserve"> A</w:t>
      </w:r>
      <w:r w:rsidR="00B12AC2" w:rsidRPr="00B83A9D">
        <w:t xml:space="preserve"> has </w:t>
      </w:r>
      <w:proofErr w:type="spellStart"/>
      <w:r w:rsidR="00B12AC2" w:rsidRPr="00B83A9D">
        <w:t>Leu</w:t>
      </w:r>
      <w:proofErr w:type="spellEnd"/>
      <w:r w:rsidR="00B12AC2" w:rsidRPr="00B83A9D">
        <w:t xml:space="preserve"> at position 100 and Ile at position 110.</w:t>
      </w:r>
    </w:p>
    <w:p w14:paraId="5933C165" w14:textId="77777777" w:rsidR="00B12AC2" w:rsidRPr="00B83A9D" w:rsidRDefault="00B12AC2" w:rsidP="00B12AC2"/>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49"/>
        <w:gridCol w:w="1149"/>
        <w:gridCol w:w="3266"/>
      </w:tblGrid>
      <w:tr w:rsidR="00B12AC2" w:rsidRPr="00B83A9D" w14:paraId="2915787D" w14:textId="77777777">
        <w:trPr>
          <w:jc w:val="center"/>
        </w:trPr>
        <w:tc>
          <w:tcPr>
            <w:tcW w:w="0" w:type="auto"/>
            <w:gridSpan w:val="2"/>
          </w:tcPr>
          <w:p w14:paraId="318F2080" w14:textId="77777777" w:rsidR="00B12AC2" w:rsidRPr="00B83A9D" w:rsidRDefault="00B12AC2" w:rsidP="009E5B28">
            <w:r w:rsidRPr="00B83A9D">
              <w:t>Amino Acid Position</w:t>
            </w:r>
          </w:p>
        </w:tc>
        <w:tc>
          <w:tcPr>
            <w:tcW w:w="0" w:type="auto"/>
            <w:vMerge w:val="restart"/>
            <w:vAlign w:val="center"/>
          </w:tcPr>
          <w:p w14:paraId="5ADE9C0D" w14:textId="77777777" w:rsidR="00B12AC2" w:rsidRPr="00B83A9D" w:rsidRDefault="00B12AC2" w:rsidP="009E5B28">
            <w:r w:rsidRPr="00B83A9D">
              <w:t xml:space="preserve">ΔΔG = </w:t>
            </w:r>
            <w:proofErr w:type="spellStart"/>
            <w:r w:rsidRPr="00B83A9D">
              <w:t>ΔG</w:t>
            </w:r>
            <w:r w:rsidRPr="00B83A9D">
              <w:rPr>
                <w:vertAlign w:val="subscript"/>
              </w:rPr>
              <w:t>mut</w:t>
            </w:r>
            <w:proofErr w:type="spellEnd"/>
            <w:r w:rsidRPr="00B83A9D">
              <w:t xml:space="preserve"> - </w:t>
            </w:r>
            <w:proofErr w:type="spellStart"/>
            <w:r w:rsidRPr="00B83A9D">
              <w:t>ΔG</w:t>
            </w:r>
            <w:r w:rsidRPr="00B83A9D">
              <w:rPr>
                <w:vertAlign w:val="subscript"/>
              </w:rPr>
              <w:t>wt</w:t>
            </w:r>
            <w:proofErr w:type="spellEnd"/>
            <w:r w:rsidRPr="00B83A9D">
              <w:t xml:space="preserve"> (kcal/</w:t>
            </w:r>
            <w:proofErr w:type="spellStart"/>
            <w:r w:rsidRPr="00B83A9D">
              <w:t>mol</w:t>
            </w:r>
            <w:proofErr w:type="spellEnd"/>
            <w:r w:rsidRPr="00B83A9D">
              <w:t>)</w:t>
            </w:r>
          </w:p>
        </w:tc>
      </w:tr>
      <w:tr w:rsidR="00B12AC2" w:rsidRPr="00B83A9D" w14:paraId="21BCD4E5" w14:textId="77777777">
        <w:trPr>
          <w:jc w:val="center"/>
        </w:trPr>
        <w:tc>
          <w:tcPr>
            <w:tcW w:w="0" w:type="auto"/>
          </w:tcPr>
          <w:p w14:paraId="37BC1E1D" w14:textId="77777777" w:rsidR="00B12AC2" w:rsidRPr="00B83A9D" w:rsidRDefault="00B12AC2" w:rsidP="009E5B28">
            <w:r w:rsidRPr="00B83A9D">
              <w:t>100</w:t>
            </w:r>
          </w:p>
        </w:tc>
        <w:tc>
          <w:tcPr>
            <w:tcW w:w="0" w:type="auto"/>
          </w:tcPr>
          <w:p w14:paraId="46DC1C0C" w14:textId="77777777" w:rsidR="00B12AC2" w:rsidRPr="00B83A9D" w:rsidRDefault="00B12AC2" w:rsidP="009E5B28">
            <w:r w:rsidRPr="00B83A9D">
              <w:t>110</w:t>
            </w:r>
          </w:p>
        </w:tc>
        <w:tc>
          <w:tcPr>
            <w:tcW w:w="0" w:type="auto"/>
            <w:vMerge/>
          </w:tcPr>
          <w:p w14:paraId="052CC637" w14:textId="77777777" w:rsidR="00B12AC2" w:rsidRPr="00B83A9D" w:rsidRDefault="00B12AC2" w:rsidP="009E5B28"/>
        </w:tc>
      </w:tr>
      <w:tr w:rsidR="00B12AC2" w:rsidRPr="00B83A9D" w14:paraId="23F83131" w14:textId="77777777">
        <w:trPr>
          <w:jc w:val="center"/>
        </w:trPr>
        <w:tc>
          <w:tcPr>
            <w:tcW w:w="0" w:type="auto"/>
          </w:tcPr>
          <w:p w14:paraId="64400F69" w14:textId="77777777" w:rsidR="00B12AC2" w:rsidRPr="00B83A9D" w:rsidRDefault="00B12AC2" w:rsidP="009E5B28">
            <w:r w:rsidRPr="00B83A9D">
              <w:t>Asp</w:t>
            </w:r>
          </w:p>
        </w:tc>
        <w:tc>
          <w:tcPr>
            <w:tcW w:w="0" w:type="auto"/>
          </w:tcPr>
          <w:p w14:paraId="089C0E28" w14:textId="77777777" w:rsidR="00B12AC2" w:rsidRPr="00B83A9D" w:rsidRDefault="00B12AC2" w:rsidP="009E5B28">
            <w:r w:rsidRPr="00B83A9D">
              <w:t>Ile</w:t>
            </w:r>
          </w:p>
        </w:tc>
        <w:tc>
          <w:tcPr>
            <w:tcW w:w="0" w:type="auto"/>
          </w:tcPr>
          <w:p w14:paraId="65D7D44B" w14:textId="77777777" w:rsidR="00B12AC2" w:rsidRPr="00B83A9D" w:rsidRDefault="00B12AC2" w:rsidP="009E5B28">
            <w:r w:rsidRPr="00B83A9D">
              <w:t>0.5</w:t>
            </w:r>
          </w:p>
        </w:tc>
      </w:tr>
      <w:tr w:rsidR="00B12AC2" w:rsidRPr="00B83A9D" w14:paraId="71E07396" w14:textId="77777777">
        <w:trPr>
          <w:jc w:val="center"/>
        </w:trPr>
        <w:tc>
          <w:tcPr>
            <w:tcW w:w="0" w:type="auto"/>
          </w:tcPr>
          <w:p w14:paraId="0383E684" w14:textId="77777777" w:rsidR="00B12AC2" w:rsidRPr="00B83A9D" w:rsidRDefault="00B12AC2" w:rsidP="009E5B28">
            <w:proofErr w:type="spellStart"/>
            <w:r w:rsidRPr="00B83A9D">
              <w:t>Leu</w:t>
            </w:r>
            <w:proofErr w:type="spellEnd"/>
          </w:p>
        </w:tc>
        <w:tc>
          <w:tcPr>
            <w:tcW w:w="0" w:type="auto"/>
          </w:tcPr>
          <w:p w14:paraId="762F14E4" w14:textId="77777777" w:rsidR="00B12AC2" w:rsidRPr="00B83A9D" w:rsidRDefault="00B12AC2" w:rsidP="009E5B28">
            <w:r w:rsidRPr="00B83A9D">
              <w:t>Lys</w:t>
            </w:r>
          </w:p>
        </w:tc>
        <w:tc>
          <w:tcPr>
            <w:tcW w:w="0" w:type="auto"/>
          </w:tcPr>
          <w:p w14:paraId="07415EDA" w14:textId="77777777" w:rsidR="00B12AC2" w:rsidRPr="00B83A9D" w:rsidRDefault="00B12AC2" w:rsidP="009E5B28">
            <w:r w:rsidRPr="00B83A9D">
              <w:t>0.4</w:t>
            </w:r>
          </w:p>
        </w:tc>
      </w:tr>
      <w:tr w:rsidR="00B12AC2" w:rsidRPr="00B83A9D" w14:paraId="6ECED6C4" w14:textId="77777777">
        <w:trPr>
          <w:jc w:val="center"/>
        </w:trPr>
        <w:tc>
          <w:tcPr>
            <w:tcW w:w="0" w:type="auto"/>
          </w:tcPr>
          <w:p w14:paraId="4ABF29A4" w14:textId="77777777" w:rsidR="00B12AC2" w:rsidRPr="00B83A9D" w:rsidRDefault="00B12AC2" w:rsidP="009E5B28">
            <w:r w:rsidRPr="00B83A9D">
              <w:t>Asp</w:t>
            </w:r>
          </w:p>
        </w:tc>
        <w:tc>
          <w:tcPr>
            <w:tcW w:w="0" w:type="auto"/>
          </w:tcPr>
          <w:p w14:paraId="22AD6500" w14:textId="77777777" w:rsidR="00B12AC2" w:rsidRPr="00B83A9D" w:rsidRDefault="00B12AC2" w:rsidP="009E5B28">
            <w:r w:rsidRPr="00B83A9D">
              <w:t>Lys</w:t>
            </w:r>
          </w:p>
        </w:tc>
        <w:tc>
          <w:tcPr>
            <w:tcW w:w="0" w:type="auto"/>
          </w:tcPr>
          <w:p w14:paraId="71088478" w14:textId="77777777" w:rsidR="00B12AC2" w:rsidRPr="00B83A9D" w:rsidRDefault="00B12AC2" w:rsidP="009E5B28">
            <w:r w:rsidRPr="00B83A9D">
              <w:t>-2.0</w:t>
            </w:r>
          </w:p>
        </w:tc>
      </w:tr>
    </w:tbl>
    <w:p w14:paraId="1012220E" w14:textId="77777777" w:rsidR="00B12AC2" w:rsidRPr="00B83A9D" w:rsidRDefault="00B12AC2" w:rsidP="00B12AC2"/>
    <w:p w14:paraId="22B12883" w14:textId="77777777" w:rsidR="00851E46" w:rsidRDefault="00B12AC2" w:rsidP="00851E46">
      <w:pPr>
        <w:numPr>
          <w:ilvl w:val="0"/>
          <w:numId w:val="5"/>
        </w:numPr>
        <w:spacing w:after="200" w:line="276" w:lineRule="auto"/>
      </w:pPr>
      <w:r w:rsidRPr="00B83A9D">
        <w:t>Assume that the mutations have a negligible effec</w:t>
      </w:r>
      <w:r>
        <w:t>t on the free energy of protein A</w:t>
      </w:r>
      <w:r w:rsidRPr="00B83A9D">
        <w:t>.  Compute the ΔΔG values for the following transitions, where (X</w:t>
      </w:r>
      <w:proofErr w:type="gramStart"/>
      <w:r w:rsidRPr="00B83A9D">
        <w:t>,Y</w:t>
      </w:r>
      <w:proofErr w:type="gramEnd"/>
      <w:r w:rsidRPr="00B83A9D">
        <w:t>) indicates X at position 100 and Y at position 110:</w:t>
      </w:r>
      <w:r w:rsidRPr="00B83A9D">
        <w:br/>
        <w:t>(</w:t>
      </w:r>
      <w:proofErr w:type="spellStart"/>
      <w:r w:rsidRPr="00B83A9D">
        <w:t>Leu,Lys</w:t>
      </w:r>
      <w:proofErr w:type="spellEnd"/>
      <w:r w:rsidRPr="00B83A9D">
        <w:t>) to (</w:t>
      </w:r>
      <w:proofErr w:type="spellStart"/>
      <w:r w:rsidR="00BB4C10">
        <w:t>Asp,Lys</w:t>
      </w:r>
      <w:proofErr w:type="spellEnd"/>
      <w:r w:rsidR="00BB4C10">
        <w:t>)</w:t>
      </w:r>
      <w:r w:rsidR="00BB4C10">
        <w:br/>
        <w:t>(</w:t>
      </w:r>
      <w:proofErr w:type="spellStart"/>
      <w:r w:rsidR="00BB4C10">
        <w:t>Asp,Ile</w:t>
      </w:r>
      <w:proofErr w:type="spellEnd"/>
      <w:r w:rsidR="00BB4C10">
        <w:t>) to (</w:t>
      </w:r>
      <w:proofErr w:type="spellStart"/>
      <w:r w:rsidR="00BB4C10">
        <w:t>Asp,Lys</w:t>
      </w:r>
      <w:proofErr w:type="spellEnd"/>
      <w:r w:rsidR="00BB4C10">
        <w:t>)</w:t>
      </w:r>
    </w:p>
    <w:p w14:paraId="6246C7D2" w14:textId="77777777" w:rsidR="007D700F" w:rsidRDefault="007D700F" w:rsidP="007D700F">
      <w:pPr>
        <w:spacing w:after="200"/>
        <w:ind w:left="720"/>
        <w:rPr>
          <w:color w:val="0000FF"/>
        </w:rPr>
      </w:pPr>
      <w:r>
        <w:rPr>
          <w:color w:val="0000FF"/>
        </w:rPr>
        <w:t>We can write thermodynamic cycles:</w:t>
      </w:r>
    </w:p>
    <w:p w14:paraId="1E7D88CF" w14:textId="5F53774E" w:rsidR="007D700F" w:rsidRDefault="007D700F" w:rsidP="007D700F">
      <w:pPr>
        <w:spacing w:after="200"/>
        <w:ind w:left="720"/>
        <w:rPr>
          <w:color w:val="0000FF"/>
        </w:rPr>
      </w:pPr>
      <w:r>
        <w:rPr>
          <w:color w:val="0000FF"/>
        </w:rPr>
        <w:t>(</w:t>
      </w:r>
      <w:proofErr w:type="spellStart"/>
      <w:r>
        <w:rPr>
          <w:color w:val="0000FF"/>
        </w:rPr>
        <w:t>Leu</w:t>
      </w:r>
      <w:proofErr w:type="spellEnd"/>
      <w:r>
        <w:rPr>
          <w:color w:val="0000FF"/>
        </w:rPr>
        <w:t xml:space="preserve">, Lys) </w:t>
      </w:r>
      <w:r w:rsidRPr="007D700F">
        <w:rPr>
          <w:color w:val="0000FF"/>
        </w:rPr>
        <w:sym w:font="Wingdings" w:char="F0E0"/>
      </w:r>
      <w:r>
        <w:rPr>
          <w:color w:val="0000FF"/>
        </w:rPr>
        <w:t xml:space="preserve"> (</w:t>
      </w:r>
      <w:proofErr w:type="spellStart"/>
      <w:r>
        <w:rPr>
          <w:color w:val="0000FF"/>
        </w:rPr>
        <w:t>Leu</w:t>
      </w:r>
      <w:proofErr w:type="spellEnd"/>
      <w:r>
        <w:rPr>
          <w:color w:val="0000FF"/>
        </w:rPr>
        <w:t xml:space="preserve">, Ile) </w:t>
      </w:r>
      <w:r w:rsidRPr="007D700F">
        <w:rPr>
          <w:color w:val="0000FF"/>
        </w:rPr>
        <w:sym w:font="Wingdings" w:char="F0E0"/>
      </w:r>
      <w:r>
        <w:rPr>
          <w:color w:val="0000FF"/>
        </w:rPr>
        <w:t xml:space="preserve"> (Asp, Lys)</w:t>
      </w:r>
      <w:r w:rsidR="00421B19">
        <w:rPr>
          <w:color w:val="0000FF"/>
        </w:rPr>
        <w:t xml:space="preserve"> = -(0.4) + -2.0 = -2.4.</w:t>
      </w:r>
    </w:p>
    <w:p w14:paraId="74D16A42" w14:textId="20E64FB4" w:rsidR="007D700F" w:rsidRDefault="007D700F" w:rsidP="007D700F">
      <w:pPr>
        <w:spacing w:after="200"/>
        <w:ind w:left="720"/>
        <w:rPr>
          <w:color w:val="0000FF"/>
        </w:rPr>
      </w:pPr>
      <w:r>
        <w:rPr>
          <w:color w:val="0000FF"/>
        </w:rPr>
        <w:t>The first term is negative because now WT is the final and MUT the initial state.</w:t>
      </w:r>
    </w:p>
    <w:p w14:paraId="697B5491" w14:textId="05908987" w:rsidR="007D700F" w:rsidRDefault="008C4F1F" w:rsidP="007D700F">
      <w:pPr>
        <w:spacing w:after="200"/>
        <w:ind w:left="720"/>
        <w:rPr>
          <w:color w:val="0000FF"/>
        </w:rPr>
      </w:pPr>
      <w:r>
        <w:rPr>
          <w:color w:val="0000FF"/>
        </w:rPr>
        <w:t>Similarly, in the second case the answer is -2.5.</w:t>
      </w:r>
    </w:p>
    <w:p w14:paraId="58F9152D" w14:textId="77777777" w:rsidR="007D700F" w:rsidRPr="007D700F" w:rsidRDefault="007D700F" w:rsidP="007D700F">
      <w:pPr>
        <w:spacing w:after="200" w:line="276" w:lineRule="auto"/>
        <w:ind w:left="720"/>
        <w:rPr>
          <w:color w:val="0000FF"/>
        </w:rPr>
      </w:pPr>
    </w:p>
    <w:p w14:paraId="016BF0A0" w14:textId="77777777" w:rsidR="00671460" w:rsidRDefault="00B12AC2" w:rsidP="00B12AC2">
      <w:pPr>
        <w:numPr>
          <w:ilvl w:val="0"/>
          <w:numId w:val="5"/>
        </w:numPr>
        <w:spacing w:after="200" w:line="276" w:lineRule="auto"/>
      </w:pPr>
      <w:r w:rsidRPr="00B83A9D">
        <w:t xml:space="preserve">The mutations occur in close proximity to the </w:t>
      </w:r>
      <w:r>
        <w:t>binding site of B on A</w:t>
      </w:r>
      <w:r w:rsidRPr="00B83A9D">
        <w:t>.  Propose an explanation for why the double mutant has a negative value ΔΔG and the single mutants have positive values.  Your answer should make a prediction for the molecular p</w:t>
      </w:r>
      <w:r>
        <w:t xml:space="preserve">roperties of the surface of B </w:t>
      </w:r>
      <w:r w:rsidRPr="00B83A9D">
        <w:t xml:space="preserve">in the vicinity of these mutations. </w:t>
      </w:r>
    </w:p>
    <w:p w14:paraId="23BF79A0" w14:textId="405D9ADB" w:rsidR="00E267F5" w:rsidRPr="001252C7" w:rsidRDefault="001252C7" w:rsidP="00737583">
      <w:pPr>
        <w:ind w:left="720"/>
        <w:rPr>
          <w:color w:val="0000FF"/>
        </w:rPr>
      </w:pPr>
      <w:proofErr w:type="spellStart"/>
      <w:r w:rsidRPr="001252C7">
        <w:rPr>
          <w:color w:val="0000FF"/>
        </w:rPr>
        <w:t>Leu</w:t>
      </w:r>
      <w:proofErr w:type="spellEnd"/>
      <w:r w:rsidRPr="001252C7">
        <w:rPr>
          <w:color w:val="0000FF"/>
        </w:rPr>
        <w:t xml:space="preserve"> and Ile are hydrophobic, while Asp and Lys are acidic and basic, respectively. </w:t>
      </w:r>
      <w:r>
        <w:rPr>
          <w:color w:val="0000FF"/>
        </w:rPr>
        <w:t>Thus, the surface of B would appear to be sensitive to having a neutral charge</w:t>
      </w:r>
      <w:r w:rsidR="002A209E">
        <w:rPr>
          <w:color w:val="0000FF"/>
        </w:rPr>
        <w:t xml:space="preserve"> and likely itself has both acidic and basic </w:t>
      </w:r>
      <w:proofErr w:type="spellStart"/>
      <w:r w:rsidR="002A209E">
        <w:rPr>
          <w:color w:val="0000FF"/>
        </w:rPr>
        <w:t>moeities</w:t>
      </w:r>
      <w:proofErr w:type="spellEnd"/>
      <w:r>
        <w:rPr>
          <w:color w:val="0000FF"/>
        </w:rPr>
        <w:t xml:space="preserve">. </w:t>
      </w:r>
    </w:p>
    <w:p w14:paraId="1E8D5F6B" w14:textId="77777777" w:rsidR="00737583" w:rsidRDefault="00737583">
      <w:pPr>
        <w:rPr>
          <w:b/>
        </w:rPr>
      </w:pPr>
    </w:p>
    <w:p w14:paraId="1AE476F8" w14:textId="77777777" w:rsidR="00CD7BD2" w:rsidRDefault="00CD7BD2">
      <w:pPr>
        <w:rPr>
          <w:b/>
        </w:rPr>
      </w:pPr>
      <w:r>
        <w:rPr>
          <w:b/>
        </w:rPr>
        <w:br w:type="page"/>
      </w:r>
    </w:p>
    <w:p w14:paraId="24FAE518" w14:textId="5DF38F43" w:rsidR="000377A4" w:rsidRDefault="00510E3D" w:rsidP="00671460">
      <w:pPr>
        <w:rPr>
          <w:b/>
        </w:rPr>
      </w:pPr>
      <w:r>
        <w:rPr>
          <w:b/>
        </w:rPr>
        <w:lastRenderedPageBreak/>
        <w:t>7</w:t>
      </w:r>
      <w:r w:rsidR="00671460" w:rsidRPr="001576E0">
        <w:rPr>
          <w:b/>
        </w:rPr>
        <w:t xml:space="preserve">.  </w:t>
      </w:r>
      <w:r w:rsidR="00DC6E7E">
        <w:rPr>
          <w:b/>
        </w:rPr>
        <w:t>Interplay between convection, reaction, and diffusion</w:t>
      </w:r>
    </w:p>
    <w:p w14:paraId="4833A1B0" w14:textId="77777777" w:rsidR="000377A4" w:rsidRDefault="000377A4" w:rsidP="00671460">
      <w:pPr>
        <w:rPr>
          <w:b/>
        </w:rPr>
      </w:pPr>
    </w:p>
    <w:p w14:paraId="7FCEA55A" w14:textId="77777777" w:rsidR="002801D6" w:rsidRDefault="00315954" w:rsidP="002801D6">
      <w:pPr>
        <w:numPr>
          <w:ilvl w:val="0"/>
          <w:numId w:val="6"/>
        </w:numPr>
      </w:pPr>
      <w:r>
        <w:t>A</w:t>
      </w:r>
      <w:r w:rsidRPr="00315954">
        <w:t xml:space="preserve"> perfectly adsorbing sensor is placed in an infinitely sized bath of molecules and the steady-stat</w:t>
      </w:r>
      <w:r w:rsidR="00811A1B">
        <w:t>e binding current is measured.  Next</w:t>
      </w:r>
      <w:r w:rsidRPr="00315954">
        <w:t xml:space="preserve">, a stir bar is added to the system in order to create flow past the </w:t>
      </w:r>
      <w:proofErr w:type="spellStart"/>
      <w:r w:rsidRPr="00315954">
        <w:t>adsorber</w:t>
      </w:r>
      <w:proofErr w:type="spellEnd"/>
      <w:r w:rsidRPr="00315954">
        <w:t>.  Does the steady-state binding rate increase or remain the same?</w:t>
      </w:r>
      <w:r w:rsidR="00F377D5">
        <w:t xml:space="preserve"> Explain why.</w:t>
      </w:r>
    </w:p>
    <w:p w14:paraId="00BDA949" w14:textId="77777777" w:rsidR="00276644" w:rsidRDefault="00276644" w:rsidP="00276644"/>
    <w:p w14:paraId="3B2A55DC" w14:textId="77777777" w:rsidR="001A6981" w:rsidRDefault="00E267F5" w:rsidP="001A6981">
      <w:pPr>
        <w:ind w:firstLine="720"/>
        <w:rPr>
          <w:color w:val="0000FF"/>
        </w:rPr>
      </w:pPr>
      <w:r>
        <w:rPr>
          <w:color w:val="0000FF"/>
        </w:rPr>
        <w:t xml:space="preserve">With </w:t>
      </w:r>
      <w:r w:rsidR="00276644" w:rsidRPr="00276644">
        <w:rPr>
          <w:color w:val="0000FF"/>
        </w:rPr>
        <w:t xml:space="preserve">a perfect </w:t>
      </w:r>
      <w:proofErr w:type="spellStart"/>
      <w:r w:rsidR="00276644" w:rsidRPr="00276644">
        <w:rPr>
          <w:color w:val="0000FF"/>
        </w:rPr>
        <w:t>adsorber</w:t>
      </w:r>
      <w:proofErr w:type="spellEnd"/>
      <w:r w:rsidR="00276644" w:rsidRPr="00276644">
        <w:rPr>
          <w:color w:val="0000FF"/>
        </w:rPr>
        <w:t>, stirring will reduce the size of the depletion region</w:t>
      </w:r>
      <w:r w:rsidR="001A6981">
        <w:rPr>
          <w:color w:val="0000FF"/>
        </w:rPr>
        <w:t>,</w:t>
      </w:r>
      <w:r w:rsidR="00276644" w:rsidRPr="00276644">
        <w:rPr>
          <w:color w:val="0000FF"/>
        </w:rPr>
        <w:t xml:space="preserve"> thereby </w:t>
      </w:r>
    </w:p>
    <w:p w14:paraId="071409D3" w14:textId="32F73F8F" w:rsidR="00276644" w:rsidRPr="001A6981" w:rsidRDefault="00276644" w:rsidP="001A6981">
      <w:pPr>
        <w:ind w:firstLine="720"/>
        <w:rPr>
          <w:color w:val="0000FF"/>
        </w:rPr>
      </w:pPr>
      <w:proofErr w:type="gramStart"/>
      <w:r w:rsidRPr="00276644">
        <w:rPr>
          <w:color w:val="0000FF"/>
        </w:rPr>
        <w:t>increasing</w:t>
      </w:r>
      <w:proofErr w:type="gramEnd"/>
      <w:r w:rsidRPr="00276644">
        <w:rPr>
          <w:color w:val="0000FF"/>
        </w:rPr>
        <w:t xml:space="preserve"> the concentration gradient which results in an </w:t>
      </w:r>
      <w:r w:rsidRPr="00276644">
        <w:rPr>
          <w:b/>
          <w:bCs/>
          <w:i/>
          <w:iCs/>
          <w:color w:val="0000FF"/>
        </w:rPr>
        <w:t>increase in binding rate</w:t>
      </w:r>
      <w:r w:rsidRPr="00276644">
        <w:rPr>
          <w:color w:val="0000FF"/>
        </w:rPr>
        <w:t>.</w:t>
      </w:r>
    </w:p>
    <w:p w14:paraId="26C98EE4" w14:textId="77777777" w:rsidR="00276644" w:rsidRDefault="00276644" w:rsidP="00276644"/>
    <w:p w14:paraId="35AA7012" w14:textId="23BCFE39" w:rsidR="00FB1A4E" w:rsidRDefault="002801D6" w:rsidP="00FB1A4E">
      <w:pPr>
        <w:numPr>
          <w:ilvl w:val="0"/>
          <w:numId w:val="6"/>
        </w:numPr>
      </w:pPr>
      <w:r w:rsidRPr="002801D6">
        <w:t xml:space="preserve">A perfectly adsorbing sensor is placed in the </w:t>
      </w:r>
      <w:proofErr w:type="spellStart"/>
      <w:r w:rsidRPr="002801D6">
        <w:t>microchannels</w:t>
      </w:r>
      <w:proofErr w:type="spellEnd"/>
      <w:r w:rsidRPr="002801D6">
        <w:t xml:space="preserve"> below under different flow conditions.  </w:t>
      </w:r>
      <w:r w:rsidR="00030278">
        <w:t>The top</w:t>
      </w:r>
      <w:r w:rsidRPr="002801D6">
        <w:t xml:space="preserve"> sensor collects every molecule</w:t>
      </w:r>
      <w:r w:rsidR="00030278">
        <w:t xml:space="preserve"> that flows into the channel; </w:t>
      </w:r>
      <w:r w:rsidRPr="002801D6">
        <w:t>the bottom sensor</w:t>
      </w:r>
      <w:r w:rsidR="00030278">
        <w:t xml:space="preserve"> does not</w:t>
      </w:r>
      <w:r w:rsidRPr="002801D6">
        <w:t>.  C</w:t>
      </w:r>
      <w:r w:rsidR="00851E46">
        <w:t>hannel/</w:t>
      </w:r>
      <w:r w:rsidRPr="002801D6">
        <w:t>sensor dimensions are identical for each case.</w:t>
      </w:r>
      <w:r w:rsidR="00F95755">
        <w:t xml:space="preserve">  Explain which sensor has the greater binding rate, or if they have equal binding </w:t>
      </w:r>
      <w:r w:rsidR="001800E7">
        <w:t>rates, or if there is not enough information to tel</w:t>
      </w:r>
      <w:r w:rsidR="00FB1A4E">
        <w:t>l</w:t>
      </w:r>
      <w:r w:rsidR="00F95755">
        <w:t>.</w:t>
      </w:r>
    </w:p>
    <w:p w14:paraId="669A3E79" w14:textId="77777777" w:rsidR="00FB1A4E" w:rsidRDefault="00FB1A4E" w:rsidP="00FB1A4E"/>
    <w:p w14:paraId="465BA34A" w14:textId="77777777" w:rsidR="00590F45" w:rsidRDefault="00731087" w:rsidP="00FB1A4E">
      <w:pPr>
        <w:jc w:val="center"/>
      </w:pPr>
      <w:r>
        <w:rPr>
          <w:noProof/>
        </w:rPr>
        <w:drawing>
          <wp:inline distT="0" distB="0" distL="0" distR="0" wp14:anchorId="7785624B" wp14:editId="5318BF9F">
            <wp:extent cx="3271520" cy="130048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71520" cy="1300480"/>
                    </a:xfrm>
                    <a:prstGeom prst="rect">
                      <a:avLst/>
                    </a:prstGeom>
                    <a:noFill/>
                    <a:ln>
                      <a:noFill/>
                    </a:ln>
                  </pic:spPr>
                </pic:pic>
              </a:graphicData>
            </a:graphic>
          </wp:inline>
        </w:drawing>
      </w:r>
    </w:p>
    <w:p w14:paraId="449426F9" w14:textId="77777777" w:rsidR="002801D6" w:rsidRDefault="002801D6" w:rsidP="00590F45"/>
    <w:p w14:paraId="02A7F72D" w14:textId="77777777" w:rsidR="00671460" w:rsidRPr="00F960D6" w:rsidRDefault="00671460" w:rsidP="00671460">
      <w:pPr>
        <w:rPr>
          <w:color w:val="0000FF"/>
        </w:rPr>
      </w:pPr>
    </w:p>
    <w:p w14:paraId="767A6C12" w14:textId="77777777" w:rsidR="00F960D6" w:rsidRDefault="00F960D6" w:rsidP="00F960D6">
      <w:pPr>
        <w:ind w:firstLine="720"/>
        <w:rPr>
          <w:color w:val="0000FF"/>
        </w:rPr>
      </w:pPr>
      <w:r w:rsidRPr="00F960D6">
        <w:rPr>
          <w:color w:val="0000FF"/>
        </w:rPr>
        <w:t xml:space="preserve">Since the depletion in region in the bottom channel is smaller, the flux is larger.  </w:t>
      </w:r>
    </w:p>
    <w:p w14:paraId="7252B239" w14:textId="77777777" w:rsidR="00F960D6" w:rsidRDefault="00F960D6" w:rsidP="00F960D6">
      <w:pPr>
        <w:ind w:firstLine="720"/>
        <w:rPr>
          <w:color w:val="0000FF"/>
        </w:rPr>
      </w:pPr>
      <w:r w:rsidRPr="00F960D6">
        <w:rPr>
          <w:color w:val="0000FF"/>
        </w:rPr>
        <w:t>Given that the geometry is the same, the</w:t>
      </w:r>
      <w:r>
        <w:rPr>
          <w:color w:val="0000FF"/>
        </w:rPr>
        <w:t xml:space="preserve"> flow rate is expected to be </w:t>
      </w:r>
      <w:r w:rsidRPr="00F960D6">
        <w:rPr>
          <w:color w:val="0000FF"/>
        </w:rPr>
        <w:t xml:space="preserve">larger in the </w:t>
      </w:r>
    </w:p>
    <w:p w14:paraId="4010A043" w14:textId="77777777" w:rsidR="00F960D6" w:rsidRDefault="00F960D6" w:rsidP="00F960D6">
      <w:pPr>
        <w:ind w:firstLine="720"/>
        <w:rPr>
          <w:color w:val="0000FF"/>
        </w:rPr>
      </w:pPr>
      <w:proofErr w:type="gramStart"/>
      <w:r w:rsidRPr="00F960D6">
        <w:rPr>
          <w:color w:val="0000FF"/>
        </w:rPr>
        <w:t>bottom</w:t>
      </w:r>
      <w:proofErr w:type="gramEnd"/>
      <w:r w:rsidRPr="00F960D6">
        <w:rPr>
          <w:color w:val="0000FF"/>
        </w:rPr>
        <w:t xml:space="preserve"> channel.  For a perfect </w:t>
      </w:r>
      <w:proofErr w:type="spellStart"/>
      <w:r w:rsidRPr="00F960D6">
        <w:rPr>
          <w:color w:val="0000FF"/>
        </w:rPr>
        <w:t>adsorber</w:t>
      </w:r>
      <w:proofErr w:type="spellEnd"/>
      <w:r w:rsidRPr="00F960D6">
        <w:rPr>
          <w:color w:val="0000FF"/>
        </w:rPr>
        <w:t xml:space="preserve"> (i.e. no reaction), increasing the flow rate </w:t>
      </w:r>
    </w:p>
    <w:p w14:paraId="53BACC22" w14:textId="58E0F1D2" w:rsidR="00F960D6" w:rsidRPr="00F960D6" w:rsidRDefault="00F960D6" w:rsidP="00F960D6">
      <w:pPr>
        <w:ind w:firstLine="720"/>
        <w:rPr>
          <w:color w:val="0000FF"/>
        </w:rPr>
      </w:pPr>
      <w:proofErr w:type="gramStart"/>
      <w:r w:rsidRPr="00F960D6">
        <w:rPr>
          <w:color w:val="0000FF"/>
        </w:rPr>
        <w:t>will</w:t>
      </w:r>
      <w:proofErr w:type="gramEnd"/>
      <w:r w:rsidRPr="00F960D6">
        <w:rPr>
          <w:color w:val="0000FF"/>
        </w:rPr>
        <w:t xml:space="preserve"> always increase the binding rate.</w:t>
      </w:r>
    </w:p>
    <w:p w14:paraId="39297275" w14:textId="77777777" w:rsidR="0051571D" w:rsidRPr="00F960D6" w:rsidRDefault="0051571D">
      <w:pPr>
        <w:rPr>
          <w:color w:val="0000FF"/>
        </w:rPr>
      </w:pPr>
      <w:r w:rsidRPr="00F960D6">
        <w:rPr>
          <w:color w:val="0000FF"/>
        </w:rPr>
        <w:br w:type="page"/>
      </w:r>
    </w:p>
    <w:p w14:paraId="00C22F3A" w14:textId="1DB77523" w:rsidR="00BD66B6" w:rsidRDefault="00510E3D" w:rsidP="00F56EF5">
      <w:pPr>
        <w:rPr>
          <w:b/>
        </w:rPr>
      </w:pPr>
      <w:proofErr w:type="gramStart"/>
      <w:r>
        <w:rPr>
          <w:b/>
        </w:rPr>
        <w:lastRenderedPageBreak/>
        <w:t>8</w:t>
      </w:r>
      <w:r w:rsidR="00F56EF5" w:rsidRPr="001576E0">
        <w:rPr>
          <w:b/>
        </w:rPr>
        <w:t xml:space="preserve">.  </w:t>
      </w:r>
      <w:r w:rsidR="00927EF9">
        <w:rPr>
          <w:b/>
        </w:rPr>
        <w:t>Three s</w:t>
      </w:r>
      <w:r w:rsidR="00EE1915">
        <w:rPr>
          <w:b/>
        </w:rPr>
        <w:t>hort answer</w:t>
      </w:r>
      <w:proofErr w:type="gramEnd"/>
      <w:r w:rsidR="00EE1915">
        <w:rPr>
          <w:b/>
        </w:rPr>
        <w:t>, independent questions about fluid dynamics</w:t>
      </w:r>
    </w:p>
    <w:p w14:paraId="41A57B80" w14:textId="77777777" w:rsidR="001239E0" w:rsidRDefault="001239E0" w:rsidP="00F56EF5">
      <w:pPr>
        <w:rPr>
          <w:b/>
        </w:rPr>
      </w:pPr>
    </w:p>
    <w:p w14:paraId="047FA343" w14:textId="2FA6F8F0" w:rsidR="001239E0" w:rsidRPr="001239E0" w:rsidRDefault="001239E0" w:rsidP="00F56EF5">
      <w:pPr>
        <w:rPr>
          <w:color w:val="0000FF"/>
        </w:rPr>
      </w:pPr>
      <w:r w:rsidRPr="001239E0">
        <w:rPr>
          <w:color w:val="0000FF"/>
        </w:rPr>
        <w:t>Answers only below; see other handout for problem statement.</w:t>
      </w:r>
    </w:p>
    <w:p w14:paraId="349A6830" w14:textId="77777777" w:rsidR="00490D68" w:rsidRDefault="00490D68" w:rsidP="00F56EF5">
      <w:pPr>
        <w:rPr>
          <w:b/>
        </w:rPr>
      </w:pPr>
    </w:p>
    <w:p w14:paraId="229BD90B" w14:textId="48CC6CEF" w:rsidR="001239E0" w:rsidRDefault="001239E0">
      <w:pPr>
        <w:rPr>
          <w:noProof/>
        </w:rPr>
      </w:pPr>
      <w:r>
        <w:rPr>
          <w:noProof/>
        </w:rPr>
        <w:drawing>
          <wp:inline distT="0" distB="0" distL="0" distR="0" wp14:anchorId="657BE0F7" wp14:editId="3943BD83">
            <wp:extent cx="5943600" cy="5652770"/>
            <wp:effectExtent l="0" t="0" r="0" b="1143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07-24 at 1.15.35 PM.png"/>
                    <pic:cNvPicPr/>
                  </pic:nvPicPr>
                  <pic:blipFill>
                    <a:blip r:embed="rId8">
                      <a:extLst>
                        <a:ext uri="{28A0092B-C50C-407E-A947-70E740481C1C}">
                          <a14:useLocalDpi xmlns:a14="http://schemas.microsoft.com/office/drawing/2010/main" val="0"/>
                        </a:ext>
                      </a:extLst>
                    </a:blip>
                    <a:stretch>
                      <a:fillRect/>
                    </a:stretch>
                  </pic:blipFill>
                  <pic:spPr>
                    <a:xfrm>
                      <a:off x="0" y="0"/>
                      <a:ext cx="5943600" cy="5652770"/>
                    </a:xfrm>
                    <a:prstGeom prst="rect">
                      <a:avLst/>
                    </a:prstGeom>
                  </pic:spPr>
                </pic:pic>
              </a:graphicData>
            </a:graphic>
          </wp:inline>
        </w:drawing>
      </w:r>
      <w:r>
        <w:rPr>
          <w:noProof/>
        </w:rPr>
        <w:br w:type="page"/>
      </w:r>
    </w:p>
    <w:p w14:paraId="0F6D3D35" w14:textId="74D9B008" w:rsidR="00E72238" w:rsidRDefault="00307F25" w:rsidP="00510C01">
      <w:pPr>
        <w:rPr>
          <w:b/>
        </w:rPr>
      </w:pPr>
      <w:r>
        <w:rPr>
          <w:b/>
        </w:rPr>
        <w:lastRenderedPageBreak/>
        <w:t xml:space="preserve">9. </w:t>
      </w:r>
      <w:r w:rsidR="00E72238">
        <w:rPr>
          <w:b/>
        </w:rPr>
        <w:t>Short answer biomechanics questions, 1</w:t>
      </w:r>
    </w:p>
    <w:p w14:paraId="6CD1D5E5" w14:textId="77777777" w:rsidR="006B0377" w:rsidRDefault="006B0377" w:rsidP="00510C01">
      <w:pPr>
        <w:rPr>
          <w:b/>
        </w:rPr>
      </w:pPr>
    </w:p>
    <w:p w14:paraId="4907A282" w14:textId="77777777" w:rsidR="00FA383A" w:rsidRPr="005E47E4" w:rsidRDefault="006B0377" w:rsidP="00FA383A">
      <w:pPr>
        <w:numPr>
          <w:ilvl w:val="0"/>
          <w:numId w:val="7"/>
        </w:numPr>
      </w:pPr>
      <w:r w:rsidRPr="006B0377">
        <w:t xml:space="preserve">The cellular </w:t>
      </w:r>
      <w:proofErr w:type="spellStart"/>
      <w:r w:rsidRPr="006B0377">
        <w:t>tensegrity</w:t>
      </w:r>
      <w:proofErr w:type="spellEnd"/>
      <w:r w:rsidRPr="006B0377">
        <w:t xml:space="preserve"> model is often described as “action</w:t>
      </w:r>
      <w:r w:rsidRPr="006B0377">
        <w:rPr>
          <w:rFonts w:ascii="Noteworthy Light" w:hAnsi="Noteworthy Light" w:cs="Noteworthy Light"/>
        </w:rPr>
        <w:t>‐</w:t>
      </w:r>
      <w:r w:rsidRPr="006B0377">
        <w:t>at</w:t>
      </w:r>
      <w:r w:rsidRPr="006B0377">
        <w:rPr>
          <w:rFonts w:ascii="Noteworthy Light" w:hAnsi="Noteworthy Light" w:cs="Noteworthy Light"/>
        </w:rPr>
        <w:t>‐</w:t>
      </w:r>
      <w:r w:rsidRPr="006B0377">
        <w:t>a</w:t>
      </w:r>
      <w:r w:rsidRPr="006B0377">
        <w:rPr>
          <w:rFonts w:ascii="Noteworthy Light" w:hAnsi="Noteworthy Light" w:cs="Noteworthy Light"/>
        </w:rPr>
        <w:t>‐</w:t>
      </w:r>
      <w:r w:rsidR="00E77E3A">
        <w:t>distance effect,”</w:t>
      </w:r>
      <w:r w:rsidRPr="006B0377">
        <w:t xml:space="preserve"> such that </w:t>
      </w:r>
      <w:r w:rsidRPr="005E47E4">
        <w:t xml:space="preserve">force application or mechanical deformation at one end of the cell can result in cytoskeletal or nuclear displacements in the center of the cell or the other end of the cell more than 10–20 micrometers away. Under what circumstances would you expect this model to hold true? Describe both general </w:t>
      </w:r>
      <w:r w:rsidR="00EB3D02" w:rsidRPr="005E47E4">
        <w:t xml:space="preserve">model </w:t>
      </w:r>
      <w:r w:rsidRPr="005E47E4">
        <w:t>assumptions and a specific biological example.</w:t>
      </w:r>
    </w:p>
    <w:p w14:paraId="2DA0D51E" w14:textId="77777777" w:rsidR="0067028F" w:rsidRPr="005E47E4" w:rsidRDefault="0067028F" w:rsidP="0067028F"/>
    <w:p w14:paraId="0E1CAD74" w14:textId="3713B86A" w:rsidR="0067028F" w:rsidRPr="005E47E4" w:rsidRDefault="005E47E4" w:rsidP="005E47E4">
      <w:pPr>
        <w:widowControl w:val="0"/>
        <w:autoSpaceDE w:val="0"/>
        <w:autoSpaceDN w:val="0"/>
        <w:adjustRightInd w:val="0"/>
        <w:ind w:left="720"/>
        <w:rPr>
          <w:color w:val="0000FF"/>
        </w:rPr>
      </w:pPr>
      <w:r w:rsidRPr="005E47E4">
        <w:rPr>
          <w:color w:val="0000FF"/>
        </w:rPr>
        <w:t xml:space="preserve">For </w:t>
      </w:r>
      <w:proofErr w:type="spellStart"/>
      <w:r w:rsidRPr="005E47E4">
        <w:rPr>
          <w:color w:val="0000FF"/>
        </w:rPr>
        <w:t>tensegrity</w:t>
      </w:r>
      <w:proofErr w:type="spellEnd"/>
      <w:r w:rsidRPr="005E47E4">
        <w:rPr>
          <w:color w:val="0000FF"/>
        </w:rPr>
        <w:t xml:space="preserve"> to act at a distance, the length scales for the “rigid” rods and elastic filaments would have to be on the order of magnitude of the cell (as is the case if we consider them to be actin stress fibers or microtubules).</w:t>
      </w:r>
    </w:p>
    <w:p w14:paraId="7D36EE8A" w14:textId="77777777" w:rsidR="0067028F" w:rsidRPr="005E47E4" w:rsidRDefault="0067028F" w:rsidP="0067028F"/>
    <w:p w14:paraId="44F239DB" w14:textId="77777777" w:rsidR="00FA383A" w:rsidRPr="005E47E4" w:rsidRDefault="00F45D1E" w:rsidP="00FA383A">
      <w:pPr>
        <w:numPr>
          <w:ilvl w:val="0"/>
          <w:numId w:val="7"/>
        </w:numPr>
      </w:pPr>
      <w:r w:rsidRPr="005E47E4">
        <w:t>How does this “action at a distance” compare to the deformation behavior we would expect from scaling analysis (force or energy) for a homogeneous elastic linear isotropic (HILE) continuum mechanics model of a cell?</w:t>
      </w:r>
    </w:p>
    <w:p w14:paraId="1BA25E3A" w14:textId="77777777" w:rsidR="006B0377" w:rsidRPr="005E47E4" w:rsidRDefault="006B0377" w:rsidP="00510C01"/>
    <w:p w14:paraId="6B2A8CA3" w14:textId="1DDDC9B6" w:rsidR="005E47E4" w:rsidRPr="005E47E4" w:rsidRDefault="005E47E4" w:rsidP="005E47E4">
      <w:pPr>
        <w:widowControl w:val="0"/>
        <w:autoSpaceDE w:val="0"/>
        <w:autoSpaceDN w:val="0"/>
        <w:adjustRightInd w:val="0"/>
        <w:ind w:left="720"/>
        <w:rPr>
          <w:color w:val="0000FF"/>
        </w:rPr>
      </w:pPr>
      <w:r w:rsidRPr="005E47E4">
        <w:rPr>
          <w:color w:val="0000FF"/>
        </w:rPr>
        <w:t>Energy dissipation would predict that deformations drop off quickly (over a distance characterized by the size of the probe used to apply force) away from the site of force application or applied strain in the continuum models.</w:t>
      </w:r>
    </w:p>
    <w:p w14:paraId="3F059E7A" w14:textId="77777777" w:rsidR="00E72238" w:rsidRPr="005E47E4" w:rsidRDefault="00E72238" w:rsidP="00510C01">
      <w:pPr>
        <w:rPr>
          <w:b/>
        </w:rPr>
      </w:pPr>
    </w:p>
    <w:p w14:paraId="588E5875" w14:textId="77777777" w:rsidR="00777264" w:rsidRDefault="00777264">
      <w:pPr>
        <w:rPr>
          <w:b/>
        </w:rPr>
      </w:pPr>
      <w:r>
        <w:rPr>
          <w:b/>
        </w:rPr>
        <w:br w:type="page"/>
      </w:r>
    </w:p>
    <w:p w14:paraId="559D8C21" w14:textId="664DFA75" w:rsidR="00E72238" w:rsidRPr="00777264" w:rsidRDefault="00307F25" w:rsidP="00E72238">
      <w:pPr>
        <w:rPr>
          <w:b/>
        </w:rPr>
      </w:pPr>
      <w:r>
        <w:rPr>
          <w:b/>
        </w:rPr>
        <w:lastRenderedPageBreak/>
        <w:t xml:space="preserve">10. </w:t>
      </w:r>
      <w:r w:rsidR="00E72238" w:rsidRPr="005E47E4">
        <w:rPr>
          <w:b/>
        </w:rPr>
        <w:t>Short answer biomechanics questions, 2</w:t>
      </w:r>
    </w:p>
    <w:p w14:paraId="1815B7B7" w14:textId="77777777" w:rsidR="007573BF" w:rsidRPr="005E47E4" w:rsidRDefault="007573BF" w:rsidP="00510C01">
      <w:pPr>
        <w:rPr>
          <w:lang w:eastAsia="ko-KR"/>
        </w:rPr>
      </w:pPr>
    </w:p>
    <w:p w14:paraId="1435A646" w14:textId="77777777" w:rsidR="007573BF" w:rsidRPr="00F20C78" w:rsidRDefault="007573BF" w:rsidP="007573BF">
      <w:pPr>
        <w:numPr>
          <w:ilvl w:val="0"/>
          <w:numId w:val="8"/>
        </w:numPr>
        <w:rPr>
          <w:lang w:eastAsia="ko-KR"/>
        </w:rPr>
      </w:pPr>
      <w:r w:rsidRPr="007573BF">
        <w:rPr>
          <w:lang w:eastAsia="ko-KR"/>
        </w:rPr>
        <w:t xml:space="preserve">In the biopolymer model for cell mechanics and filament networks, why does the bulk elastic modulus depend both on the polymer/filament density (i.e. solid </w:t>
      </w:r>
      <w:r w:rsidRPr="00F20C78">
        <w:rPr>
          <w:lang w:eastAsia="ko-KR"/>
        </w:rPr>
        <w:t>volume fraction) and the cross‐link density (as reflected in the distance between cross‐links or entanglements)?</w:t>
      </w:r>
    </w:p>
    <w:p w14:paraId="5DB9906A" w14:textId="77777777" w:rsidR="004F1F52" w:rsidRPr="00F20C78" w:rsidRDefault="004F1F52" w:rsidP="004F1F52">
      <w:pPr>
        <w:widowControl w:val="0"/>
        <w:autoSpaceDE w:val="0"/>
        <w:autoSpaceDN w:val="0"/>
        <w:adjustRightInd w:val="0"/>
      </w:pPr>
    </w:p>
    <w:p w14:paraId="0E56B0C1" w14:textId="668543AF" w:rsidR="004F1F52" w:rsidRPr="00F20C78" w:rsidRDefault="004F1F52" w:rsidP="00F20C78">
      <w:pPr>
        <w:widowControl w:val="0"/>
        <w:autoSpaceDE w:val="0"/>
        <w:autoSpaceDN w:val="0"/>
        <w:adjustRightInd w:val="0"/>
        <w:ind w:left="720"/>
        <w:rPr>
          <w:color w:val="0000FF"/>
        </w:rPr>
      </w:pPr>
      <w:r w:rsidRPr="00F20C78">
        <w:rPr>
          <w:color w:val="0000FF"/>
        </w:rPr>
        <w:t>Cross</w:t>
      </w:r>
      <w:r w:rsidRPr="00F20C78">
        <w:rPr>
          <w:rFonts w:cs="Cı'38ˇøÏxÂ'1"/>
          <w:b/>
          <w:bCs/>
          <w:color w:val="0000FF"/>
        </w:rPr>
        <w:t>‐</w:t>
      </w:r>
      <w:r w:rsidRPr="00F20C78">
        <w:rPr>
          <w:color w:val="0000FF"/>
        </w:rPr>
        <w:t xml:space="preserve">linker density determines if individual filaments are physically connected and what the effective lengths between force application points </w:t>
      </w:r>
      <w:proofErr w:type="gramStart"/>
      <w:r w:rsidRPr="00F20C78">
        <w:rPr>
          <w:color w:val="0000FF"/>
        </w:rPr>
        <w:t>is</w:t>
      </w:r>
      <w:proofErr w:type="gramEnd"/>
      <w:r w:rsidRPr="00F20C78">
        <w:rPr>
          <w:color w:val="0000FF"/>
        </w:rPr>
        <w:t xml:space="preserve"> (labeled L</w:t>
      </w:r>
      <w:r w:rsidRPr="00F20C78">
        <w:rPr>
          <w:color w:val="0000FF"/>
          <w:sz w:val="16"/>
          <w:szCs w:val="16"/>
        </w:rPr>
        <w:t>e</w:t>
      </w:r>
      <w:r w:rsidRPr="00F20C78">
        <w:rPr>
          <w:color w:val="0000FF"/>
        </w:rPr>
        <w:t xml:space="preserve"> in our analysis). In other words, at low cross</w:t>
      </w:r>
      <w:r w:rsidRPr="00F20C78">
        <w:rPr>
          <w:rFonts w:cs="Cı'38ˇøÏxÂ'1"/>
          <w:b/>
          <w:bCs/>
          <w:color w:val="0000FF"/>
        </w:rPr>
        <w:t>‐</w:t>
      </w:r>
      <w:r w:rsidRPr="00F20C78">
        <w:rPr>
          <w:color w:val="0000FF"/>
        </w:rPr>
        <w:t>linker densities, the load is carried by fewer fibers (even at the same fiber concentration), while at high</w:t>
      </w:r>
      <w:r w:rsidRPr="00F20C78">
        <w:rPr>
          <w:rFonts w:cs="Cı'38ˇøÏxÂ'1"/>
          <w:b/>
          <w:bCs/>
          <w:color w:val="0000FF"/>
        </w:rPr>
        <w:t>‐</w:t>
      </w:r>
      <w:r w:rsidRPr="00F20C78">
        <w:rPr>
          <w:color w:val="0000FF"/>
        </w:rPr>
        <w:t xml:space="preserve">cross linker </w:t>
      </w:r>
      <w:proofErr w:type="gramStart"/>
      <w:r w:rsidRPr="00F20C78">
        <w:rPr>
          <w:color w:val="0000FF"/>
        </w:rPr>
        <w:t>densities,</w:t>
      </w:r>
      <w:proofErr w:type="gramEnd"/>
      <w:r w:rsidRPr="00F20C78">
        <w:rPr>
          <w:color w:val="0000FF"/>
        </w:rPr>
        <w:t xml:space="preserve"> the mesh size is comparable to the effective length L</w:t>
      </w:r>
      <w:r w:rsidRPr="00F20C78">
        <w:rPr>
          <w:color w:val="0000FF"/>
          <w:sz w:val="16"/>
          <w:szCs w:val="16"/>
        </w:rPr>
        <w:t>e</w:t>
      </w:r>
      <w:r w:rsidRPr="00F20C78">
        <w:rPr>
          <w:color w:val="0000FF"/>
        </w:rPr>
        <w:t>.</w:t>
      </w:r>
    </w:p>
    <w:p w14:paraId="2EC788FF" w14:textId="77777777" w:rsidR="004F1F52" w:rsidRPr="00F20C78" w:rsidRDefault="004F1F52" w:rsidP="004F1F52">
      <w:pPr>
        <w:rPr>
          <w:lang w:eastAsia="ko-KR"/>
        </w:rPr>
      </w:pPr>
    </w:p>
    <w:p w14:paraId="69388725" w14:textId="77777777" w:rsidR="007573BF" w:rsidRDefault="007573BF" w:rsidP="007573BF">
      <w:pPr>
        <w:numPr>
          <w:ilvl w:val="0"/>
          <w:numId w:val="8"/>
        </w:numPr>
        <w:rPr>
          <w:lang w:eastAsia="ko-KR"/>
        </w:rPr>
      </w:pPr>
      <w:r w:rsidRPr="00F20C78">
        <w:rPr>
          <w:lang w:eastAsia="ko-KR"/>
        </w:rPr>
        <w:t>How would you expect the hydraulic permeability of a material (e.g., collagen gel) to change as</w:t>
      </w:r>
      <w:r w:rsidRPr="007573BF">
        <w:rPr>
          <w:lang w:eastAsia="ko-KR"/>
        </w:rPr>
        <w:t xml:space="preserve"> the solid fraction increases? Why?</w:t>
      </w:r>
    </w:p>
    <w:p w14:paraId="33DC4361" w14:textId="77777777" w:rsidR="00531A46" w:rsidRDefault="00531A46" w:rsidP="00531A46">
      <w:pPr>
        <w:rPr>
          <w:lang w:eastAsia="ko-KR"/>
        </w:rPr>
      </w:pPr>
    </w:p>
    <w:p w14:paraId="2411B0B7" w14:textId="59954FBF" w:rsidR="00531A46" w:rsidRPr="0090032C" w:rsidRDefault="0090032C" w:rsidP="0090032C">
      <w:pPr>
        <w:ind w:firstLine="720"/>
        <w:rPr>
          <w:color w:val="0000FF"/>
          <w:lang w:eastAsia="ko-KR"/>
        </w:rPr>
      </w:pPr>
      <w:r w:rsidRPr="0090032C">
        <w:rPr>
          <w:color w:val="0000FF"/>
        </w:rPr>
        <w:t>Permeability would fall because of increased drag on the fibers.</w:t>
      </w:r>
    </w:p>
    <w:p w14:paraId="55B5131A" w14:textId="77777777" w:rsidR="00531A46" w:rsidRDefault="00531A46" w:rsidP="00531A46">
      <w:pPr>
        <w:rPr>
          <w:lang w:eastAsia="ko-KR"/>
        </w:rPr>
      </w:pPr>
    </w:p>
    <w:p w14:paraId="38A58DBA" w14:textId="77777777" w:rsidR="0002457C" w:rsidRDefault="007573BF" w:rsidP="007573BF">
      <w:pPr>
        <w:numPr>
          <w:ilvl w:val="0"/>
          <w:numId w:val="8"/>
        </w:numPr>
        <w:rPr>
          <w:lang w:eastAsia="ko-KR"/>
        </w:rPr>
      </w:pPr>
      <w:r w:rsidRPr="007573BF">
        <w:rPr>
          <w:lang w:eastAsia="ko-KR"/>
        </w:rPr>
        <w:t xml:space="preserve">Although we only spoke in class of </w:t>
      </w:r>
      <w:r w:rsidRPr="006E7767">
        <w:rPr>
          <w:i/>
          <w:lang w:eastAsia="ko-KR"/>
        </w:rPr>
        <w:t>isotropic</w:t>
      </w:r>
      <w:r w:rsidRPr="007573BF">
        <w:rPr>
          <w:lang w:eastAsia="ko-KR"/>
        </w:rPr>
        <w:t xml:space="preserve"> </w:t>
      </w:r>
      <w:proofErr w:type="spellStart"/>
      <w:r w:rsidRPr="007573BF">
        <w:rPr>
          <w:lang w:eastAsia="ko-KR"/>
        </w:rPr>
        <w:t>poroelastic</w:t>
      </w:r>
      <w:proofErr w:type="spellEnd"/>
      <w:r w:rsidRPr="007573BF">
        <w:rPr>
          <w:lang w:eastAsia="ko-KR"/>
        </w:rPr>
        <w:t xml:space="preserve"> materials, i.e., those having the same permeability for flow in every direction, many biological materials are anisotropic. Give one example of a tissue that you expect would have anisotropic permeability, and explain why.</w:t>
      </w:r>
    </w:p>
    <w:p w14:paraId="423AF901" w14:textId="77777777" w:rsidR="0002457C" w:rsidRPr="00C27272" w:rsidRDefault="0002457C" w:rsidP="0002457C">
      <w:pPr>
        <w:rPr>
          <w:color w:val="0000FF"/>
          <w:lang w:eastAsia="ko-KR"/>
        </w:rPr>
      </w:pPr>
    </w:p>
    <w:p w14:paraId="6B6F6C6F" w14:textId="44ADCD47" w:rsidR="0002457C" w:rsidRPr="00C27272" w:rsidRDefault="00C27272" w:rsidP="00C27272">
      <w:pPr>
        <w:widowControl w:val="0"/>
        <w:autoSpaceDE w:val="0"/>
        <w:autoSpaceDN w:val="0"/>
        <w:adjustRightInd w:val="0"/>
        <w:ind w:left="720"/>
        <w:rPr>
          <w:color w:val="0000FF"/>
        </w:rPr>
      </w:pPr>
      <w:proofErr w:type="gramStart"/>
      <w:r w:rsidRPr="00C27272">
        <w:rPr>
          <w:color w:val="0000FF"/>
        </w:rPr>
        <w:t>Cornea, due to the highly aligned collagen filaments.</w:t>
      </w:r>
      <w:proofErr w:type="gramEnd"/>
      <w:r w:rsidRPr="00C27272">
        <w:rPr>
          <w:color w:val="0000FF"/>
        </w:rPr>
        <w:t xml:space="preserve"> The same is true for ligaments and tendons, muscle, and several other tissues.</w:t>
      </w:r>
    </w:p>
    <w:p w14:paraId="2C9FCCB2" w14:textId="77777777" w:rsidR="0002457C" w:rsidRDefault="0002457C" w:rsidP="0002457C">
      <w:pPr>
        <w:rPr>
          <w:lang w:eastAsia="ko-KR"/>
        </w:rPr>
      </w:pPr>
    </w:p>
    <w:sectPr w:rsidR="0002457C" w:rsidSect="007A0F2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Cambria Math">
    <w:panose1 w:val="020405030504060302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Noteworthy Light">
    <w:panose1 w:val="02000400000000000000"/>
    <w:charset w:val="00"/>
    <w:family w:val="auto"/>
    <w:pitch w:val="variable"/>
    <w:sig w:usb0="8000006F" w:usb1="08000048" w:usb2="14600000" w:usb3="00000000" w:csb0="00000111" w:csb1="00000000"/>
  </w:font>
  <w:font w:name="Cı'38ˇøÏxÂ'1">
    <w:altName w:val="Cambria"/>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73034"/>
    <w:multiLevelType w:val="hybridMultilevel"/>
    <w:tmpl w:val="6CAC93C6"/>
    <w:lvl w:ilvl="0" w:tplc="7B5CF496">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4C6C41"/>
    <w:multiLevelType w:val="hybridMultilevel"/>
    <w:tmpl w:val="8D1AC692"/>
    <w:lvl w:ilvl="0" w:tplc="1CEA90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555967"/>
    <w:multiLevelType w:val="hybridMultilevel"/>
    <w:tmpl w:val="753031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A46852"/>
    <w:multiLevelType w:val="hybridMultilevel"/>
    <w:tmpl w:val="1DC453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0DB3B1A"/>
    <w:multiLevelType w:val="hybridMultilevel"/>
    <w:tmpl w:val="44D86D5C"/>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5B1C04DB"/>
    <w:multiLevelType w:val="hybridMultilevel"/>
    <w:tmpl w:val="FCE44818"/>
    <w:lvl w:ilvl="0" w:tplc="F6F01D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17C6432"/>
    <w:multiLevelType w:val="hybridMultilevel"/>
    <w:tmpl w:val="71A650BC"/>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72404E0F"/>
    <w:multiLevelType w:val="hybridMultilevel"/>
    <w:tmpl w:val="114CCE24"/>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736A7993"/>
    <w:multiLevelType w:val="hybridMultilevel"/>
    <w:tmpl w:val="F4F036E2"/>
    <w:lvl w:ilvl="0" w:tplc="FE5A89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EE44A75"/>
    <w:multiLevelType w:val="hybridMultilevel"/>
    <w:tmpl w:val="2DDE1EE6"/>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6"/>
  </w:num>
  <w:num w:numId="2">
    <w:abstractNumId w:val="4"/>
  </w:num>
  <w:num w:numId="3">
    <w:abstractNumId w:val="9"/>
  </w:num>
  <w:num w:numId="4">
    <w:abstractNumId w:val="7"/>
  </w:num>
  <w:num w:numId="5">
    <w:abstractNumId w:val="0"/>
  </w:num>
  <w:num w:numId="6">
    <w:abstractNumId w:val="1"/>
  </w:num>
  <w:num w:numId="7">
    <w:abstractNumId w:val="3"/>
  </w:num>
  <w:num w:numId="8">
    <w:abstractNumId w:val="2"/>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597"/>
    <w:rsid w:val="0000006F"/>
    <w:rsid w:val="000045D0"/>
    <w:rsid w:val="00013A96"/>
    <w:rsid w:val="000175F0"/>
    <w:rsid w:val="00022967"/>
    <w:rsid w:val="0002401F"/>
    <w:rsid w:val="0002457C"/>
    <w:rsid w:val="00030278"/>
    <w:rsid w:val="000377A4"/>
    <w:rsid w:val="000423F3"/>
    <w:rsid w:val="00055845"/>
    <w:rsid w:val="000708B6"/>
    <w:rsid w:val="00070F4B"/>
    <w:rsid w:val="0007369E"/>
    <w:rsid w:val="00087801"/>
    <w:rsid w:val="00097A42"/>
    <w:rsid w:val="000A53F9"/>
    <w:rsid w:val="000C44AA"/>
    <w:rsid w:val="000D0718"/>
    <w:rsid w:val="000D1ACF"/>
    <w:rsid w:val="000D5BED"/>
    <w:rsid w:val="000D73AD"/>
    <w:rsid w:val="000E0134"/>
    <w:rsid w:val="000E1CC6"/>
    <w:rsid w:val="000F5461"/>
    <w:rsid w:val="00110F29"/>
    <w:rsid w:val="00117CCD"/>
    <w:rsid w:val="001239E0"/>
    <w:rsid w:val="001252C7"/>
    <w:rsid w:val="001576E0"/>
    <w:rsid w:val="00172DD8"/>
    <w:rsid w:val="001800E7"/>
    <w:rsid w:val="00183D55"/>
    <w:rsid w:val="001A0E59"/>
    <w:rsid w:val="001A1989"/>
    <w:rsid w:val="001A6981"/>
    <w:rsid w:val="001B7C0D"/>
    <w:rsid w:val="001C3785"/>
    <w:rsid w:val="001C3CB1"/>
    <w:rsid w:val="001C7B61"/>
    <w:rsid w:val="001F3864"/>
    <w:rsid w:val="001F5B5D"/>
    <w:rsid w:val="001F7375"/>
    <w:rsid w:val="002028B0"/>
    <w:rsid w:val="00207C98"/>
    <w:rsid w:val="00210D38"/>
    <w:rsid w:val="00241238"/>
    <w:rsid w:val="00246965"/>
    <w:rsid w:val="00275CC7"/>
    <w:rsid w:val="00276644"/>
    <w:rsid w:val="002801D6"/>
    <w:rsid w:val="002A1CD6"/>
    <w:rsid w:val="002A209E"/>
    <w:rsid w:val="002A3178"/>
    <w:rsid w:val="002B154D"/>
    <w:rsid w:val="002C114C"/>
    <w:rsid w:val="002C39FD"/>
    <w:rsid w:val="002E37B9"/>
    <w:rsid w:val="002F5E9E"/>
    <w:rsid w:val="00304493"/>
    <w:rsid w:val="00305A8D"/>
    <w:rsid w:val="00307F25"/>
    <w:rsid w:val="00310983"/>
    <w:rsid w:val="00315954"/>
    <w:rsid w:val="0031676D"/>
    <w:rsid w:val="00316950"/>
    <w:rsid w:val="003226B2"/>
    <w:rsid w:val="003417FF"/>
    <w:rsid w:val="00346538"/>
    <w:rsid w:val="00361ECD"/>
    <w:rsid w:val="003715AC"/>
    <w:rsid w:val="003A0A69"/>
    <w:rsid w:val="003B4D3C"/>
    <w:rsid w:val="003C0D76"/>
    <w:rsid w:val="003C6003"/>
    <w:rsid w:val="003E135E"/>
    <w:rsid w:val="003E73CF"/>
    <w:rsid w:val="003F26A8"/>
    <w:rsid w:val="003F4441"/>
    <w:rsid w:val="003F55FC"/>
    <w:rsid w:val="004178C7"/>
    <w:rsid w:val="004218C4"/>
    <w:rsid w:val="00421B19"/>
    <w:rsid w:val="00430A37"/>
    <w:rsid w:val="0044073C"/>
    <w:rsid w:val="0044386C"/>
    <w:rsid w:val="004463BD"/>
    <w:rsid w:val="0045092F"/>
    <w:rsid w:val="00451C17"/>
    <w:rsid w:val="00473EE7"/>
    <w:rsid w:val="00474E5B"/>
    <w:rsid w:val="00490D68"/>
    <w:rsid w:val="00496E8B"/>
    <w:rsid w:val="004A5AC9"/>
    <w:rsid w:val="004D0865"/>
    <w:rsid w:val="004E34FA"/>
    <w:rsid w:val="004F1F52"/>
    <w:rsid w:val="00501EBB"/>
    <w:rsid w:val="00510C01"/>
    <w:rsid w:val="00510E3D"/>
    <w:rsid w:val="0051571D"/>
    <w:rsid w:val="00521EEE"/>
    <w:rsid w:val="00524465"/>
    <w:rsid w:val="00525989"/>
    <w:rsid w:val="00531A46"/>
    <w:rsid w:val="005621E2"/>
    <w:rsid w:val="00562C9F"/>
    <w:rsid w:val="00564F78"/>
    <w:rsid w:val="0057118D"/>
    <w:rsid w:val="00571D43"/>
    <w:rsid w:val="00573963"/>
    <w:rsid w:val="00574F20"/>
    <w:rsid w:val="00580F17"/>
    <w:rsid w:val="00590F45"/>
    <w:rsid w:val="00594F85"/>
    <w:rsid w:val="005B5934"/>
    <w:rsid w:val="005B6757"/>
    <w:rsid w:val="005B74BF"/>
    <w:rsid w:val="005C39DA"/>
    <w:rsid w:val="005E47E4"/>
    <w:rsid w:val="005F2005"/>
    <w:rsid w:val="00602CB5"/>
    <w:rsid w:val="006123B5"/>
    <w:rsid w:val="006175EC"/>
    <w:rsid w:val="00636633"/>
    <w:rsid w:val="00651C63"/>
    <w:rsid w:val="00652AFD"/>
    <w:rsid w:val="00654AF0"/>
    <w:rsid w:val="00662E8F"/>
    <w:rsid w:val="00667DED"/>
    <w:rsid w:val="0067028F"/>
    <w:rsid w:val="00671460"/>
    <w:rsid w:val="006773E2"/>
    <w:rsid w:val="006826D3"/>
    <w:rsid w:val="006903D0"/>
    <w:rsid w:val="006A038B"/>
    <w:rsid w:val="006B0377"/>
    <w:rsid w:val="006B7B8A"/>
    <w:rsid w:val="006C218F"/>
    <w:rsid w:val="006C3130"/>
    <w:rsid w:val="006C49C8"/>
    <w:rsid w:val="006D32C5"/>
    <w:rsid w:val="006D7876"/>
    <w:rsid w:val="006E017A"/>
    <w:rsid w:val="006E01F1"/>
    <w:rsid w:val="006E2F65"/>
    <w:rsid w:val="006E7767"/>
    <w:rsid w:val="006F296B"/>
    <w:rsid w:val="00702078"/>
    <w:rsid w:val="00707CA6"/>
    <w:rsid w:val="00726C69"/>
    <w:rsid w:val="00731087"/>
    <w:rsid w:val="00737583"/>
    <w:rsid w:val="00741257"/>
    <w:rsid w:val="00746624"/>
    <w:rsid w:val="007573BF"/>
    <w:rsid w:val="00777264"/>
    <w:rsid w:val="007815DB"/>
    <w:rsid w:val="00781840"/>
    <w:rsid w:val="007936C8"/>
    <w:rsid w:val="007A0F2E"/>
    <w:rsid w:val="007A2E68"/>
    <w:rsid w:val="007B58F1"/>
    <w:rsid w:val="007B5C57"/>
    <w:rsid w:val="007C11FA"/>
    <w:rsid w:val="007C7B91"/>
    <w:rsid w:val="007D2653"/>
    <w:rsid w:val="007D35C9"/>
    <w:rsid w:val="007D700F"/>
    <w:rsid w:val="007E17B7"/>
    <w:rsid w:val="007E4442"/>
    <w:rsid w:val="007E512C"/>
    <w:rsid w:val="007E5491"/>
    <w:rsid w:val="00806A68"/>
    <w:rsid w:val="00807A4E"/>
    <w:rsid w:val="00810947"/>
    <w:rsid w:val="0081112B"/>
    <w:rsid w:val="00811A1B"/>
    <w:rsid w:val="008146C0"/>
    <w:rsid w:val="00816A9A"/>
    <w:rsid w:val="008400F2"/>
    <w:rsid w:val="00845707"/>
    <w:rsid w:val="00851E46"/>
    <w:rsid w:val="00860FB8"/>
    <w:rsid w:val="00861187"/>
    <w:rsid w:val="00863485"/>
    <w:rsid w:val="008746A4"/>
    <w:rsid w:val="00882C49"/>
    <w:rsid w:val="00885737"/>
    <w:rsid w:val="008867E4"/>
    <w:rsid w:val="008B2B86"/>
    <w:rsid w:val="008C34DB"/>
    <w:rsid w:val="008C4F1F"/>
    <w:rsid w:val="008D3C62"/>
    <w:rsid w:val="008E3A5B"/>
    <w:rsid w:val="008E5277"/>
    <w:rsid w:val="008E5912"/>
    <w:rsid w:val="008F5067"/>
    <w:rsid w:val="0090032C"/>
    <w:rsid w:val="009174CD"/>
    <w:rsid w:val="009200CE"/>
    <w:rsid w:val="00921793"/>
    <w:rsid w:val="00924F6B"/>
    <w:rsid w:val="00927A89"/>
    <w:rsid w:val="00927EF9"/>
    <w:rsid w:val="00930EDA"/>
    <w:rsid w:val="00935DC0"/>
    <w:rsid w:val="00961F69"/>
    <w:rsid w:val="00962042"/>
    <w:rsid w:val="00982610"/>
    <w:rsid w:val="00996A34"/>
    <w:rsid w:val="009B4E72"/>
    <w:rsid w:val="009C215E"/>
    <w:rsid w:val="009D434C"/>
    <w:rsid w:val="009D6487"/>
    <w:rsid w:val="009E00AE"/>
    <w:rsid w:val="009E543E"/>
    <w:rsid w:val="009E5B11"/>
    <w:rsid w:val="009E5B28"/>
    <w:rsid w:val="009F4868"/>
    <w:rsid w:val="00A033A3"/>
    <w:rsid w:val="00A33291"/>
    <w:rsid w:val="00A51E90"/>
    <w:rsid w:val="00A52C5F"/>
    <w:rsid w:val="00A85393"/>
    <w:rsid w:val="00A86AA8"/>
    <w:rsid w:val="00A87063"/>
    <w:rsid w:val="00A96B81"/>
    <w:rsid w:val="00AB191C"/>
    <w:rsid w:val="00AB59CD"/>
    <w:rsid w:val="00AB6680"/>
    <w:rsid w:val="00AC7029"/>
    <w:rsid w:val="00AD0AD9"/>
    <w:rsid w:val="00AD2F63"/>
    <w:rsid w:val="00AF4485"/>
    <w:rsid w:val="00AF7609"/>
    <w:rsid w:val="00B12AC2"/>
    <w:rsid w:val="00B17922"/>
    <w:rsid w:val="00B365FA"/>
    <w:rsid w:val="00B3724E"/>
    <w:rsid w:val="00B50B1B"/>
    <w:rsid w:val="00B6098D"/>
    <w:rsid w:val="00B66203"/>
    <w:rsid w:val="00B66673"/>
    <w:rsid w:val="00B82719"/>
    <w:rsid w:val="00B82744"/>
    <w:rsid w:val="00B83A84"/>
    <w:rsid w:val="00B850C9"/>
    <w:rsid w:val="00BA20FB"/>
    <w:rsid w:val="00BB098F"/>
    <w:rsid w:val="00BB0E67"/>
    <w:rsid w:val="00BB4C10"/>
    <w:rsid w:val="00BC0776"/>
    <w:rsid w:val="00BD1EE7"/>
    <w:rsid w:val="00BD5CB9"/>
    <w:rsid w:val="00BD66B6"/>
    <w:rsid w:val="00BE0C9D"/>
    <w:rsid w:val="00BF642B"/>
    <w:rsid w:val="00C026F5"/>
    <w:rsid w:val="00C07B54"/>
    <w:rsid w:val="00C119E8"/>
    <w:rsid w:val="00C15EDE"/>
    <w:rsid w:val="00C27272"/>
    <w:rsid w:val="00C314DC"/>
    <w:rsid w:val="00C3184A"/>
    <w:rsid w:val="00C40586"/>
    <w:rsid w:val="00C5312D"/>
    <w:rsid w:val="00C62145"/>
    <w:rsid w:val="00C70966"/>
    <w:rsid w:val="00C71C06"/>
    <w:rsid w:val="00C73759"/>
    <w:rsid w:val="00C81C81"/>
    <w:rsid w:val="00C872E2"/>
    <w:rsid w:val="00C92377"/>
    <w:rsid w:val="00C96B20"/>
    <w:rsid w:val="00CA1D20"/>
    <w:rsid w:val="00CA6B3F"/>
    <w:rsid w:val="00CB2B92"/>
    <w:rsid w:val="00CC25AA"/>
    <w:rsid w:val="00CC3898"/>
    <w:rsid w:val="00CD7BD2"/>
    <w:rsid w:val="00CE219F"/>
    <w:rsid w:val="00D00334"/>
    <w:rsid w:val="00D01BE4"/>
    <w:rsid w:val="00D106B8"/>
    <w:rsid w:val="00D41981"/>
    <w:rsid w:val="00D5108D"/>
    <w:rsid w:val="00D92EC6"/>
    <w:rsid w:val="00DA032E"/>
    <w:rsid w:val="00DA2139"/>
    <w:rsid w:val="00DB0357"/>
    <w:rsid w:val="00DB18B4"/>
    <w:rsid w:val="00DB4D4A"/>
    <w:rsid w:val="00DC6E7E"/>
    <w:rsid w:val="00DD7211"/>
    <w:rsid w:val="00DE185E"/>
    <w:rsid w:val="00DE6DFC"/>
    <w:rsid w:val="00DE7D32"/>
    <w:rsid w:val="00DF1F35"/>
    <w:rsid w:val="00E05F74"/>
    <w:rsid w:val="00E16A47"/>
    <w:rsid w:val="00E267F5"/>
    <w:rsid w:val="00E3336C"/>
    <w:rsid w:val="00E506E0"/>
    <w:rsid w:val="00E5795F"/>
    <w:rsid w:val="00E72238"/>
    <w:rsid w:val="00E77E3A"/>
    <w:rsid w:val="00E85597"/>
    <w:rsid w:val="00EA1DB2"/>
    <w:rsid w:val="00EA7591"/>
    <w:rsid w:val="00EB0BCA"/>
    <w:rsid w:val="00EB3D02"/>
    <w:rsid w:val="00EB51C0"/>
    <w:rsid w:val="00ED3405"/>
    <w:rsid w:val="00EE1915"/>
    <w:rsid w:val="00EE2CBE"/>
    <w:rsid w:val="00F02F2B"/>
    <w:rsid w:val="00F06798"/>
    <w:rsid w:val="00F071BC"/>
    <w:rsid w:val="00F20C78"/>
    <w:rsid w:val="00F2283B"/>
    <w:rsid w:val="00F377D5"/>
    <w:rsid w:val="00F40116"/>
    <w:rsid w:val="00F45A26"/>
    <w:rsid w:val="00F45D1E"/>
    <w:rsid w:val="00F46C78"/>
    <w:rsid w:val="00F5328F"/>
    <w:rsid w:val="00F56EF5"/>
    <w:rsid w:val="00F61AA0"/>
    <w:rsid w:val="00F62C56"/>
    <w:rsid w:val="00F91B48"/>
    <w:rsid w:val="00F95755"/>
    <w:rsid w:val="00F960D6"/>
    <w:rsid w:val="00FA07CB"/>
    <w:rsid w:val="00FA383A"/>
    <w:rsid w:val="00FA676C"/>
    <w:rsid w:val="00FB0580"/>
    <w:rsid w:val="00FB1A4E"/>
    <w:rsid w:val="00FB56F8"/>
    <w:rsid w:val="00FB5B80"/>
    <w:rsid w:val="00FB7908"/>
    <w:rsid w:val="00FC0696"/>
    <w:rsid w:val="00FC2E49"/>
    <w:rsid w:val="00FC6E72"/>
    <w:rsid w:val="00FD3C58"/>
    <w:rsid w:val="00FE58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E13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sz w:val="22"/>
        <w:szCs w:val="22"/>
        <w:lang w:val="en-US" w:eastAsia="en-US" w:bidi="ar-SA"/>
      </w:rPr>
    </w:rPrDefault>
    <w:pPrDefault/>
  </w:docDefaults>
  <w:latentStyles w:defLockedState="0" w:defUIPriority="0" w:defSemiHidden="0" w:defUnhideWhenUsed="0" w:defQFormat="0" w:count="276"/>
  <w:style w:type="paragraph" w:default="1" w:styleId="Normal">
    <w:name w:val="Normal"/>
    <w:qFormat/>
    <w:rsid w:val="001F5B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85597"/>
    <w:pPr>
      <w:ind w:left="720"/>
      <w:contextualSpacing/>
    </w:pPr>
  </w:style>
  <w:style w:type="paragraph" w:styleId="BalloonText">
    <w:name w:val="Balloon Text"/>
    <w:basedOn w:val="Normal"/>
    <w:link w:val="BalloonTextChar"/>
    <w:rsid w:val="006175EC"/>
    <w:rPr>
      <w:rFonts w:ascii="Lucida Grande" w:hAnsi="Lucida Grande"/>
      <w:sz w:val="18"/>
      <w:szCs w:val="18"/>
    </w:rPr>
  </w:style>
  <w:style w:type="character" w:customStyle="1" w:styleId="BalloonTextChar">
    <w:name w:val="Balloon Text Char"/>
    <w:basedOn w:val="DefaultParagraphFont"/>
    <w:link w:val="BalloonText"/>
    <w:rsid w:val="006175EC"/>
    <w:rPr>
      <w:rFonts w:ascii="Lucida Grande" w:hAnsi="Lucida Grande"/>
      <w:sz w:val="18"/>
      <w:szCs w:val="18"/>
    </w:rPr>
  </w:style>
  <w:style w:type="character" w:styleId="PlaceholderText">
    <w:name w:val="Placeholder Text"/>
    <w:basedOn w:val="DefaultParagraphFont"/>
    <w:rsid w:val="00172DD8"/>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sz w:val="22"/>
        <w:szCs w:val="22"/>
        <w:lang w:val="en-US" w:eastAsia="en-US" w:bidi="ar-SA"/>
      </w:rPr>
    </w:rPrDefault>
    <w:pPrDefault/>
  </w:docDefaults>
  <w:latentStyles w:defLockedState="0" w:defUIPriority="0" w:defSemiHidden="0" w:defUnhideWhenUsed="0" w:defQFormat="0" w:count="276"/>
  <w:style w:type="paragraph" w:default="1" w:styleId="Normal">
    <w:name w:val="Normal"/>
    <w:qFormat/>
    <w:rsid w:val="001F5B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85597"/>
    <w:pPr>
      <w:ind w:left="720"/>
      <w:contextualSpacing/>
    </w:pPr>
  </w:style>
  <w:style w:type="paragraph" w:styleId="BalloonText">
    <w:name w:val="Balloon Text"/>
    <w:basedOn w:val="Normal"/>
    <w:link w:val="BalloonTextChar"/>
    <w:rsid w:val="006175EC"/>
    <w:rPr>
      <w:rFonts w:ascii="Lucida Grande" w:hAnsi="Lucida Grande"/>
      <w:sz w:val="18"/>
      <w:szCs w:val="18"/>
    </w:rPr>
  </w:style>
  <w:style w:type="character" w:customStyle="1" w:styleId="BalloonTextChar">
    <w:name w:val="Balloon Text Char"/>
    <w:basedOn w:val="DefaultParagraphFont"/>
    <w:link w:val="BalloonText"/>
    <w:rsid w:val="006175EC"/>
    <w:rPr>
      <w:rFonts w:ascii="Lucida Grande" w:hAnsi="Lucida Grande"/>
      <w:sz w:val="18"/>
      <w:szCs w:val="18"/>
    </w:rPr>
  </w:style>
  <w:style w:type="character" w:styleId="PlaceholderText">
    <w:name w:val="Placeholder Text"/>
    <w:basedOn w:val="DefaultParagraphFont"/>
    <w:rsid w:val="00172D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606321">
      <w:bodyDiv w:val="1"/>
      <w:marLeft w:val="0"/>
      <w:marRight w:val="0"/>
      <w:marTop w:val="0"/>
      <w:marBottom w:val="0"/>
      <w:divBdr>
        <w:top w:val="none" w:sz="0" w:space="0" w:color="auto"/>
        <w:left w:val="none" w:sz="0" w:space="0" w:color="auto"/>
        <w:bottom w:val="none" w:sz="0" w:space="0" w:color="auto"/>
        <w:right w:val="none" w:sz="0" w:space="0" w:color="auto"/>
      </w:divBdr>
    </w:div>
    <w:div w:id="1140002165">
      <w:bodyDiv w:val="1"/>
      <w:marLeft w:val="0"/>
      <w:marRight w:val="0"/>
      <w:marTop w:val="0"/>
      <w:marBottom w:val="0"/>
      <w:divBdr>
        <w:top w:val="none" w:sz="0" w:space="0" w:color="auto"/>
        <w:left w:val="none" w:sz="0" w:space="0" w:color="auto"/>
        <w:bottom w:val="none" w:sz="0" w:space="0" w:color="auto"/>
        <w:right w:val="none" w:sz="0" w:space="0" w:color="auto"/>
      </w:divBdr>
    </w:div>
    <w:div w:id="1724863612">
      <w:bodyDiv w:val="1"/>
      <w:marLeft w:val="0"/>
      <w:marRight w:val="0"/>
      <w:marTop w:val="0"/>
      <w:marBottom w:val="0"/>
      <w:divBdr>
        <w:top w:val="none" w:sz="0" w:space="0" w:color="auto"/>
        <w:left w:val="none" w:sz="0" w:space="0" w:color="auto"/>
        <w:bottom w:val="none" w:sz="0" w:space="0" w:color="auto"/>
        <w:right w:val="none" w:sz="0" w:space="0" w:color="auto"/>
      </w:divBdr>
    </w:div>
    <w:div w:id="1921669309">
      <w:marLeft w:val="0"/>
      <w:marRight w:val="0"/>
      <w:marTop w:val="0"/>
      <w:marBottom w:val="0"/>
      <w:divBdr>
        <w:top w:val="none" w:sz="0" w:space="0" w:color="auto"/>
        <w:left w:val="none" w:sz="0" w:space="0" w:color="auto"/>
        <w:bottom w:val="none" w:sz="0" w:space="0" w:color="auto"/>
        <w:right w:val="none" w:sz="0" w:space="0" w:color="auto"/>
      </w:divBdr>
      <w:divsChild>
        <w:div w:id="1921669310">
          <w:marLeft w:val="0"/>
          <w:marRight w:val="0"/>
          <w:marTop w:val="0"/>
          <w:marBottom w:val="0"/>
          <w:divBdr>
            <w:top w:val="none" w:sz="0" w:space="0" w:color="auto"/>
            <w:left w:val="none" w:sz="0" w:space="0" w:color="auto"/>
            <w:bottom w:val="none" w:sz="0" w:space="0" w:color="auto"/>
            <w:right w:val="none" w:sz="0" w:space="0" w:color="auto"/>
          </w:divBdr>
          <w:divsChild>
            <w:div w:id="192166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1571</Words>
  <Characters>8957</Characters>
  <Application>Microsoft Macintosh Word</Application>
  <DocSecurity>0</DocSecurity>
  <Lines>74</Lines>
  <Paragraphs>21</Paragraphs>
  <ScaleCrop>false</ScaleCrop>
  <Company>MIT</Company>
  <LinksUpToDate>false</LinksUpToDate>
  <CharactersWithSpaces>10507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Microteaching problems</dc:title>
  <dc:subject/>
  <dc:creator>Agnieszka Stachowiak</dc:creator>
  <cp:keywords/>
  <dc:description/>
  <cp:lastModifiedBy>Noreen Lyell</cp:lastModifiedBy>
  <cp:revision>2</cp:revision>
  <cp:lastPrinted>2012-08-24T19:21:00Z</cp:lastPrinted>
  <dcterms:created xsi:type="dcterms:W3CDTF">2015-08-28T20:12:00Z</dcterms:created>
  <dcterms:modified xsi:type="dcterms:W3CDTF">2015-08-28T20:12:00Z</dcterms:modified>
</cp:coreProperties>
</file>