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F40511" w:rsidRDefault="003E6922" w:rsidP="00F40511">
      <w:pPr>
        <w:pStyle w:val="Title"/>
      </w:pPr>
      <w:r>
        <w:t>Title-less</w:t>
      </w:r>
      <w:r w:rsidR="00EB4380" w:rsidRPr="00F40511">
        <w:t xml:space="preserve"> Coli</w:t>
      </w:r>
      <w:r>
        <w:t>-related entry</w:t>
      </w:r>
    </w:p>
    <w:p w:rsidR="00000000" w:rsidRDefault="00EB4380">
      <w:pPr>
        <w:pStyle w:val="Heading1"/>
        <w:numPr>
          <w:ilvl w:val="0"/>
          <w:numId w:val="1"/>
        </w:numPr>
        <w:ind w:left="0" w:firstLine="0"/>
      </w:pPr>
      <w:r>
        <w:t>Scientific Reason</w:t>
      </w:r>
    </w:p>
    <w:p w:rsidR="00000000" w:rsidRDefault="00EB4380"/>
    <w:p w:rsidR="00000000" w:rsidRDefault="00EB4380">
      <w:pPr>
        <w:pStyle w:val="Heading2"/>
        <w:numPr>
          <w:ilvl w:val="1"/>
          <w:numId w:val="1"/>
        </w:numPr>
        <w:ind w:left="0" w:firstLine="0"/>
      </w:pPr>
      <w:r>
        <w:t>Overview</w:t>
      </w:r>
    </w:p>
    <w:p w:rsidR="00523C49" w:rsidRPr="00523C49" w:rsidRDefault="00523C49" w:rsidP="00523C49"/>
    <w:p w:rsidR="00CA1769" w:rsidRDefault="003E6922" w:rsidP="003E6922">
      <w:r>
        <w:t xml:space="preserve">In our desire to </w:t>
      </w:r>
      <w:r w:rsidR="00AF54C3">
        <w:t>launch</w:t>
      </w:r>
      <w:r>
        <w:t xml:space="preserve"> a functional </w:t>
      </w:r>
      <w:r w:rsidR="00AF54C3">
        <w:t>system with a</w:t>
      </w:r>
      <w:r w:rsidR="00CA1769">
        <w:t xml:space="preserve"> </w:t>
      </w:r>
      <w:r w:rsidR="00AF54C3">
        <w:t xml:space="preserve">solid </w:t>
      </w:r>
      <w:r w:rsidR="00CA1769">
        <w:t>degree</w:t>
      </w:r>
      <w:r w:rsidR="00AF54C3">
        <w:t xml:space="preserve"> of information processing, we </w:t>
      </w:r>
      <w:r w:rsidR="00CA1769">
        <w:t>chose</w:t>
      </w:r>
      <w:r w:rsidR="00AF54C3">
        <w:t xml:space="preserve"> to create one in which information flows between devices was constrained on a </w:t>
      </w:r>
      <w:r w:rsidR="00CA1769">
        <w:t xml:space="preserve">non-biological </w:t>
      </w:r>
      <w:r w:rsidR="00AF54C3">
        <w:t>channel, while information processing was constrained to a different channel</w:t>
      </w:r>
      <w:r w:rsidR="00CA1769">
        <w:t xml:space="preserve">. </w:t>
      </w:r>
      <w:r w:rsidR="00AF54C3">
        <w:t>We therefore decided to work with light as a means of transporting information</w:t>
      </w:r>
      <w:r w:rsidR="00523C49">
        <w:t xml:space="preserve"> </w:t>
      </w:r>
      <w:r w:rsidR="00AF54C3">
        <w:t>across biological devic</w:t>
      </w:r>
      <w:r w:rsidR="00CA1769">
        <w:t>es, and with the standard biolog</w:t>
      </w:r>
      <w:r w:rsidR="00CA1769">
        <w:t>i</w:t>
      </w:r>
      <w:r w:rsidR="00CA1769">
        <w:t>cal machinery as a means of processing said information</w:t>
      </w:r>
      <w:r w:rsidR="00AF54C3">
        <w:t>.</w:t>
      </w:r>
      <w:r w:rsidR="00CA1769" w:rsidRPr="00CA1769">
        <w:t xml:space="preserve"> </w:t>
      </w:r>
      <w:r w:rsidR="00CA1769">
        <w:t>This served our purpose in two principal ways: our signals would be feasibly isolated from one another, and the scale of transmission was considerably augmented</w:t>
      </w:r>
      <w:r w:rsidR="00523C49">
        <w:t>;</w:t>
      </w:r>
      <w:r w:rsidR="00CA1769">
        <w:t xml:space="preserve"> ergo the scale &amp; complexity of the</w:t>
      </w:r>
      <w:r w:rsidR="00523C49">
        <w:t xml:space="preserve"> possible</w:t>
      </w:r>
      <w:r w:rsidR="00CA1769">
        <w:t xml:space="preserve"> device a</w:t>
      </w:r>
      <w:r w:rsidR="00CA1769">
        <w:t>s</w:t>
      </w:r>
      <w:r w:rsidR="00CA1769">
        <w:t>sembly</w:t>
      </w:r>
      <w:r w:rsidR="00523C49">
        <w:t xml:space="preserve"> increased significantly</w:t>
      </w:r>
      <w:r w:rsidR="00CA1769">
        <w:t xml:space="preserve">. Consequently we had the need to establish </w:t>
      </w:r>
      <w:r w:rsidR="00AF54C3">
        <w:t>an</w:t>
      </w:r>
      <w:r w:rsidR="00523C49">
        <w:t xml:space="preserve"> I/O</w:t>
      </w:r>
      <w:r w:rsidR="00AF54C3">
        <w:t xml:space="preserve"> interface coupling the </w:t>
      </w:r>
      <w:r w:rsidR="00523C49">
        <w:t>connection</w:t>
      </w:r>
      <w:r w:rsidR="00AF54C3">
        <w:t xml:space="preserve"> (light) with the </w:t>
      </w:r>
      <w:r w:rsidR="00523C49">
        <w:t>proce</w:t>
      </w:r>
      <w:r w:rsidR="00523C49">
        <w:t>s</w:t>
      </w:r>
      <w:r w:rsidR="00523C49">
        <w:t>sor</w:t>
      </w:r>
      <w:r w:rsidR="00AF54C3">
        <w:t xml:space="preserve"> (proteins)</w:t>
      </w:r>
      <w:r w:rsidR="00CA1769">
        <w:t>.</w:t>
      </w:r>
    </w:p>
    <w:p w:rsidR="00322F90" w:rsidRDefault="00523C49" w:rsidP="003E6922">
      <w:r>
        <w:t>As a proof-of-principle, we are currently designing a 3-device assembly of cycled IF logic gates</w:t>
      </w:r>
      <w:r w:rsidR="00C55C9C">
        <w:t>. Our d</w:t>
      </w:r>
      <w:r w:rsidR="00C55C9C">
        <w:t>e</w:t>
      </w:r>
      <w:r w:rsidR="00C55C9C">
        <w:t>vices differ from one another in that each will communicate information on different frequencies within the same channel</w:t>
      </w:r>
      <w:r>
        <w:t>.</w:t>
      </w:r>
      <w:r w:rsidR="005B43D2">
        <w:t xml:space="preserve"> We therefore have 6 </w:t>
      </w:r>
      <w:r w:rsidR="00AC7692">
        <w:t xml:space="preserve">unique </w:t>
      </w:r>
      <w:r w:rsidR="005B43D2">
        <w:t>interfaces to create.</w:t>
      </w:r>
      <w:r>
        <w:t xml:space="preserve"> Should results be encouraging</w:t>
      </w:r>
      <w:r w:rsidR="00322F90">
        <w:t xml:space="preserve"> we can foresee three expansion routes: </w:t>
      </w:r>
    </w:p>
    <w:p w:rsidR="00322F90" w:rsidRDefault="00322F90" w:rsidP="00322F90">
      <w:pPr>
        <w:pStyle w:val="ListParagraph"/>
        <w:numPr>
          <w:ilvl w:val="0"/>
          <w:numId w:val="2"/>
        </w:numPr>
      </w:pPr>
      <w:r>
        <w:t>a quaternary base for the information layer (instead of using binary),</w:t>
      </w:r>
    </w:p>
    <w:p w:rsidR="00322F90" w:rsidRDefault="00322F90" w:rsidP="00322F90">
      <w:pPr>
        <w:pStyle w:val="ListParagraph"/>
        <w:numPr>
          <w:ilvl w:val="0"/>
          <w:numId w:val="2"/>
        </w:numPr>
      </w:pPr>
      <w:r>
        <w:t>expansion of the available</w:t>
      </w:r>
      <w:r w:rsidR="00523C49">
        <w:t xml:space="preserve"> log</w:t>
      </w:r>
      <w:r>
        <w:t>ic gates to include</w:t>
      </w:r>
      <w:r w:rsidR="00523C49">
        <w:t xml:space="preserve"> AND(&amp;), OR(|),</w:t>
      </w:r>
      <w:r>
        <w:t xml:space="preserve"> and</w:t>
      </w:r>
      <w:r w:rsidR="00523C49">
        <w:t xml:space="preserve"> NOT(!)</w:t>
      </w:r>
      <w:r>
        <w:t>,</w:t>
      </w:r>
    </w:p>
    <w:p w:rsidR="00523C49" w:rsidRDefault="00322F90" w:rsidP="00322F90">
      <w:pPr>
        <w:pStyle w:val="ListParagraph"/>
        <w:numPr>
          <w:ilvl w:val="0"/>
          <w:numId w:val="2"/>
        </w:numPr>
      </w:pPr>
      <w:r>
        <w:t>and</w:t>
      </w:r>
      <w:r w:rsidR="00523C49">
        <w:t xml:space="preserve"> </w:t>
      </w:r>
      <w:r>
        <w:t>the implementation of a</w:t>
      </w:r>
      <w:r w:rsidR="00523C49">
        <w:t xml:space="preserve"> </w:t>
      </w:r>
      <w:r w:rsidR="00AC7692">
        <w:t>mu</w:t>
      </w:r>
      <w:r w:rsidR="00AC7692">
        <w:t>l</w:t>
      </w:r>
      <w:r w:rsidR="00AC7692">
        <w:t>ti-</w:t>
      </w:r>
      <w:r w:rsidR="00341EA5">
        <w:t>processor</w:t>
      </w:r>
      <w:r w:rsidR="00AC7692">
        <w:t xml:space="preserve"> large scale </w:t>
      </w:r>
      <w:r w:rsidR="00341EA5">
        <w:t>Central Processing Unit</w:t>
      </w:r>
      <w:r w:rsidR="00523C49">
        <w:t>.</w:t>
      </w:r>
    </w:p>
    <w:p w:rsidR="00523C49" w:rsidRDefault="00523C49" w:rsidP="003E6922"/>
    <w:p w:rsidR="00523C49" w:rsidRDefault="00523C49" w:rsidP="00523C49">
      <w:pPr>
        <w:pStyle w:val="Heading2"/>
      </w:pPr>
      <w:r>
        <w:t>Input</w:t>
      </w:r>
    </w:p>
    <w:p w:rsidR="00AF54C3" w:rsidRDefault="00AF54C3" w:rsidP="003E6922"/>
    <w:p w:rsidR="00523C49" w:rsidRDefault="00AC7692" w:rsidP="003E6922">
      <w:r>
        <w:t>Our three</w:t>
      </w:r>
      <w:r w:rsidR="00C55C9C">
        <w:t xml:space="preserve"> input interfaces are photosensitive proteins. These are based on plant phytochromes (Arabidopsis thaliana), cyanobacteriochromes (</w:t>
      </w:r>
      <w:r w:rsidR="00C55C9C" w:rsidRPr="00C55C9C">
        <w:rPr>
          <w:i/>
          <w:iCs/>
        </w:rPr>
        <w:t>Synechocystis</w:t>
      </w:r>
      <w:r w:rsidR="00C55C9C">
        <w:t>), and standard chromophores (Escherichia c</w:t>
      </w:r>
      <w:r w:rsidR="00C55C9C">
        <w:t>o</w:t>
      </w:r>
      <w:r w:rsidR="00C55C9C">
        <w:t>li).</w:t>
      </w:r>
      <w:r w:rsidR="009911BB">
        <w:t xml:space="preserve"> The main advantage of these proteins is their fidelity and spectral absorption segregation. As an added bonus, their signaling cascades within the processor are quite independent: there could not be crosstalk</w:t>
      </w:r>
      <w:r w:rsidR="00322F90">
        <w:t xml:space="preserve"> even if they were all induced within the same processor.</w:t>
      </w:r>
      <w:r w:rsidR="00341EA5">
        <w:t xml:space="preserve"> </w:t>
      </w:r>
      <w:r w:rsidR="009250A6">
        <w:t>These would effectively expand</w:t>
      </w:r>
      <w:r w:rsidR="00341EA5">
        <w:t xml:space="preserve"> the processing power of our d</w:t>
      </w:r>
      <w:r w:rsidR="00341EA5">
        <w:t>e</w:t>
      </w:r>
      <w:r w:rsidR="00341EA5">
        <w:t>vice from a single-core system, to a multi-core system.</w:t>
      </w:r>
    </w:p>
    <w:p w:rsidR="00C25DBE" w:rsidRDefault="00C25DBE" w:rsidP="003E6922"/>
    <w:p w:rsidR="000A5D37" w:rsidRDefault="000A5D37" w:rsidP="000A5D37">
      <w:pPr>
        <w:pStyle w:val="Heading2"/>
      </w:pPr>
      <w:r>
        <w:lastRenderedPageBreak/>
        <w:t>Output</w:t>
      </w:r>
    </w:p>
    <w:p w:rsidR="000A5D37" w:rsidRPr="00AF54C3" w:rsidRDefault="000A5D37" w:rsidP="003E6922"/>
    <w:p w:rsidR="00000000" w:rsidRDefault="000A5D37">
      <w:r>
        <w:t>Our three output interfaces are light-emitting photoreactive proteins. These are based on the eukaryote luciferase (Photinus pyralis) and variations of the bacterial lux-operon (Vibrio fischeri).</w:t>
      </w:r>
      <w:r w:rsidR="00341EA5">
        <w:t xml:space="preserve"> The capital re</w:t>
      </w:r>
      <w:r w:rsidR="00341EA5">
        <w:t>a</w:t>
      </w:r>
      <w:r w:rsidR="00341EA5">
        <w:t>son for their selection was their efficiency as well as the spectral emission segregation. Again, as an ad</w:t>
      </w:r>
      <w:r w:rsidR="00341EA5">
        <w:t>d</w:t>
      </w:r>
      <w:r w:rsidR="00341EA5">
        <w:t>ed bonus these signaling events are also independent from one another even if taken into the same processor.</w:t>
      </w:r>
    </w:p>
    <w:p w:rsidR="00C25DBE" w:rsidRDefault="00C25DBE"/>
    <w:p w:rsidR="00C25DBE" w:rsidRDefault="00C25DBE" w:rsidP="00C25DBE">
      <w:pPr>
        <w:pStyle w:val="Heading2"/>
      </w:pPr>
      <w:r>
        <w:t>System</w:t>
      </w:r>
    </w:p>
    <w:p w:rsidR="00341EA5" w:rsidRDefault="00341EA5"/>
    <w:p w:rsidR="00C25DBE" w:rsidRDefault="00772631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186690</wp:posOffset>
            </wp:positionV>
            <wp:extent cx="2523490" cy="2865755"/>
            <wp:effectExtent l="57150" t="0" r="1016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4843D1">
        <w:rPr>
          <w:noProof/>
          <w:lang w:bidi="ar-SA"/>
        </w:rPr>
        <w:t>An overview of the layers on the system is in Figure 1. A detailed view of the system’s assembly</w:t>
      </w:r>
      <w:r w:rsidR="00C25DBE">
        <w:t xml:space="preserve"> is in Fi</w:t>
      </w:r>
      <w:r w:rsidR="00C25DBE">
        <w:t>g</w:t>
      </w:r>
      <w:r w:rsidR="004843D1">
        <w:t>ure 2.</w:t>
      </w:r>
    </w:p>
    <w:p w:rsidR="00E443BE" w:rsidRDefault="00AF5440"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2344420</wp:posOffset>
            </wp:positionV>
            <wp:extent cx="2722245" cy="1842135"/>
            <wp:effectExtent l="0" t="0" r="0" b="0"/>
            <wp:wrapSquare wrapText="bothSides"/>
            <wp:docPr id="6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525963"/>
                      <a:chOff x="457200" y="1600200"/>
                      <a:chExt cx="8229600" cy="4525963"/>
                    </a:xfrm>
                  </a:grpSpPr>
                  <a:sp>
                    <a:nvSpPr>
                      <a:cNvPr id="6" name="Content Placeholder 5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8229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/>
                            <a:t>Figure 2</a:t>
                          </a:r>
                          <a:r>
                            <a:rPr lang="en-US" dirty="0"/>
                            <a:t>. Assembly Overview for the Project. Grey arrows indicate the direction of Information Flow. Orange arrows correspond to Processors. Uncolored circles correspond to Connections. The rest are color-coded Interfaces.</a:t>
                          </a:r>
                        </a:p>
                        <a:p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2235200</wp:posOffset>
            </wp:positionV>
            <wp:extent cx="2824480" cy="1951355"/>
            <wp:effectExtent l="0" t="0" r="0" b="0"/>
            <wp:wrapSquare wrapText="bothSides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525963"/>
                      <a:chOff x="457200" y="1600200"/>
                      <a:chExt cx="8229600" cy="4525963"/>
                    </a:xfrm>
                  </a:grpSpPr>
                  <a:sp>
                    <a:nvSpPr>
                      <a:cNvPr id="5" name="Content Placeholder 4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82296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32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/>
                            <a:t>Figure 1</a:t>
                          </a:r>
                          <a:r>
                            <a:rPr lang="en-US" dirty="0"/>
                            <a:t>. Layer distribution. The black blocks correspond to processors, thus to the biological layer. Processors are named as follows XY, where X is the absorption color and Y is the emission color. The arrows correspond to connections, thus to the light layer. Their color corresponds to the frequency within the light channel.</a:t>
                          </a:r>
                        </a:p>
                        <a:p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E443BE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256540</wp:posOffset>
            </wp:positionV>
            <wp:extent cx="2900045" cy="1729740"/>
            <wp:effectExtent l="0" t="0" r="0" b="381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E443BE" w:rsidRPr="00E443BE">
        <w:rPr>
          <w:noProof/>
          <w:lang w:bidi="ar-SA"/>
        </w:rPr>
        <w:t xml:space="preserve"> </w:t>
      </w:r>
    </w:p>
    <w:p w:rsidR="00341EA5" w:rsidRDefault="00341EA5"/>
    <w:p w:rsidR="00AF5440" w:rsidRDefault="00AF5440"/>
    <w:p w:rsidR="00AF5440" w:rsidRDefault="00AF5440"/>
    <w:p w:rsidR="00AF5440" w:rsidRDefault="00AF5440"/>
    <w:p w:rsidR="00AF5440" w:rsidRDefault="00AF5440"/>
    <w:p w:rsidR="00AF5440" w:rsidRDefault="00AF5440"/>
    <w:p w:rsidR="00AF5440" w:rsidRDefault="00AF5440"/>
    <w:p w:rsidR="00AF5440" w:rsidRDefault="00AF5440" w:rsidP="00AF5440">
      <w:pPr>
        <w:pStyle w:val="Heading2"/>
      </w:pPr>
      <w:r>
        <w:lastRenderedPageBreak/>
        <w:t>Conclusion</w:t>
      </w:r>
    </w:p>
    <w:p w:rsidR="00AF5440" w:rsidRDefault="00AF5440" w:rsidP="00AF5440"/>
    <w:p w:rsidR="00AF5440" w:rsidRPr="00AF5440" w:rsidRDefault="00AF5440" w:rsidP="00AF5440">
      <w:r>
        <w:t>We propose the basis for a competent biological computing unit based on existing and characterized proteins utilized in a novel organization.</w:t>
      </w:r>
    </w:p>
    <w:sectPr w:rsidR="00AF5440" w:rsidRPr="00AF54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80" w:rsidRDefault="00EB4380">
      <w:pPr>
        <w:spacing w:after="0" w:line="240" w:lineRule="auto"/>
      </w:pPr>
      <w:r>
        <w:separator/>
      </w:r>
    </w:p>
  </w:endnote>
  <w:endnote w:type="continuationSeparator" w:id="1">
    <w:p w:rsidR="00EB4380" w:rsidRDefault="00EB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>
    <w:pPr>
      <w:pStyle w:val="Formatolibre"/>
      <w:rPr>
        <w:rFonts w:ascii="Times New Roman" w:eastAsia="Times New Roman" w:hAnsi="Times New Roman"/>
        <w:color w:val="auto"/>
        <w:lang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>
    <w:pPr>
      <w:pStyle w:val="Formatolibre"/>
      <w:rPr>
        <w:rFonts w:ascii="Times New Roman" w:eastAsia="Times New Roman" w:hAnsi="Times New Roman"/>
        <w:color w:val="auto"/>
        <w:lang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80" w:rsidRDefault="00EB4380">
      <w:pPr>
        <w:spacing w:after="0" w:line="240" w:lineRule="auto"/>
      </w:pPr>
      <w:r>
        <w:separator/>
      </w:r>
    </w:p>
  </w:footnote>
  <w:footnote w:type="continuationSeparator" w:id="1">
    <w:p w:rsidR="00EB4380" w:rsidRDefault="00EB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>
    <w:pPr>
      <w:pStyle w:val="Formatolibre"/>
      <w:rPr>
        <w:rFonts w:ascii="Times New Roman" w:eastAsia="Times New Roman" w:hAnsi="Times New Roman"/>
        <w:color w:val="auto"/>
        <w:lang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>
    <w:pPr>
      <w:pStyle w:val="Formatolibre"/>
      <w:rPr>
        <w:rFonts w:ascii="Times New Roman" w:eastAsia="Times New Roman" w:hAnsi="Times New Roman"/>
        <w:color w:val="auto"/>
        <w:lang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43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491246"/>
    <w:multiLevelType w:val="hybridMultilevel"/>
    <w:tmpl w:val="759C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913"/>
    <w:rsid w:val="000A5D37"/>
    <w:rsid w:val="00322F90"/>
    <w:rsid w:val="00341EA5"/>
    <w:rsid w:val="003E6922"/>
    <w:rsid w:val="004843D1"/>
    <w:rsid w:val="00523C49"/>
    <w:rsid w:val="005B43D2"/>
    <w:rsid w:val="006E2F5E"/>
    <w:rsid w:val="00772631"/>
    <w:rsid w:val="008D3913"/>
    <w:rsid w:val="009250A6"/>
    <w:rsid w:val="009911BB"/>
    <w:rsid w:val="009A1DCA"/>
    <w:rsid w:val="00A777D1"/>
    <w:rsid w:val="00AC7692"/>
    <w:rsid w:val="00AF5440"/>
    <w:rsid w:val="00AF54C3"/>
    <w:rsid w:val="00C25DBE"/>
    <w:rsid w:val="00C55C9C"/>
    <w:rsid w:val="00CA1769"/>
    <w:rsid w:val="00E443BE"/>
    <w:rsid w:val="00EB4380"/>
    <w:rsid w:val="00F40511"/>
    <w:rsid w:val="00F4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11"/>
  </w:style>
  <w:style w:type="paragraph" w:styleId="Heading1">
    <w:name w:val="heading 1"/>
    <w:basedOn w:val="Normal"/>
    <w:next w:val="Normal"/>
    <w:link w:val="Heading1Char"/>
    <w:uiPriority w:val="9"/>
    <w:qFormat/>
    <w:rsid w:val="00F40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F405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ormatolibre">
    <w:name w:val="Formato libre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1"/>
      <w:sz w:val="20"/>
      <w:szCs w:val="20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405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40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0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05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0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405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05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405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405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0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405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405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40511"/>
    <w:rPr>
      <w:b/>
      <w:bCs/>
    </w:rPr>
  </w:style>
  <w:style w:type="character" w:styleId="Emphasis">
    <w:name w:val="Emphasis"/>
    <w:basedOn w:val="DefaultParagraphFont"/>
    <w:uiPriority w:val="20"/>
    <w:qFormat/>
    <w:rsid w:val="00F40511"/>
    <w:rPr>
      <w:i/>
      <w:iCs/>
    </w:rPr>
  </w:style>
  <w:style w:type="paragraph" w:styleId="NoSpacing">
    <w:name w:val="No Spacing"/>
    <w:uiPriority w:val="1"/>
    <w:qFormat/>
    <w:rsid w:val="00F405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5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05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051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1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4051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4051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4051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4051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4051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51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48F0B6-2339-49FF-B792-D272BC81F6AC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482CC021-CB1E-45CE-9F8D-B7656304CB2D}">
      <dgm:prSet phldrT="[Text]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MX"/>
            <a:t>-&gt;R</a:t>
          </a:r>
        </a:p>
      </dgm:t>
    </dgm:pt>
    <dgm:pt modelId="{376B8510-C650-4685-A0C1-1D4681942DEE}" type="parTrans" cxnId="{6EDBF533-488A-457F-B15B-86675C6BE7E3}">
      <dgm:prSet/>
      <dgm:spPr/>
      <dgm:t>
        <a:bodyPr/>
        <a:lstStyle/>
        <a:p>
          <a:endParaRPr lang="es-MX"/>
        </a:p>
      </dgm:t>
    </dgm:pt>
    <dgm:pt modelId="{2D84A505-5CE2-4964-A873-BC1E50625C40}" type="sibTrans" cxnId="{6EDBF533-488A-457F-B15B-86675C6BE7E3}">
      <dgm:prSet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MX"/>
        </a:p>
      </dgm:t>
    </dgm:pt>
    <dgm:pt modelId="{02500148-0325-4042-9276-D1DCC407BEE9}">
      <dgm:prSet phldrT="[Text]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MX"/>
            <a:t>G-&gt;</a:t>
          </a:r>
        </a:p>
      </dgm:t>
    </dgm:pt>
    <dgm:pt modelId="{3FA76483-C800-42C2-B94F-2E276D5D811A}" type="parTrans" cxnId="{5E7676EC-01C9-4BB3-98C8-EBD64B90E3AE}">
      <dgm:prSet/>
      <dgm:spPr/>
      <dgm:t>
        <a:bodyPr/>
        <a:lstStyle/>
        <a:p>
          <a:endParaRPr lang="es-MX"/>
        </a:p>
      </dgm:t>
    </dgm:pt>
    <dgm:pt modelId="{2E844700-96E5-457B-92BA-5BB590A0381D}" type="sibTrans" cxnId="{5E7676EC-01C9-4BB3-98C8-EBD64B90E3AE}">
      <dgm:prSet/>
      <dgm:spPr/>
      <dgm:t>
        <a:bodyPr/>
        <a:lstStyle/>
        <a:p>
          <a:endParaRPr lang="es-MX"/>
        </a:p>
      </dgm:t>
    </dgm:pt>
    <dgm:pt modelId="{8931E4F1-8B67-433B-A69C-710EBE94B06E}">
      <dgm:prSet phldrT="[Text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MX"/>
            <a:t>-&gt;G</a:t>
          </a:r>
        </a:p>
      </dgm:t>
    </dgm:pt>
    <dgm:pt modelId="{3BE542B7-D54E-4811-BEB4-33F39939133A}" type="parTrans" cxnId="{794A8FB8-CF4E-4110-BE31-A613BDCE8F84}">
      <dgm:prSet/>
      <dgm:spPr/>
      <dgm:t>
        <a:bodyPr/>
        <a:lstStyle/>
        <a:p>
          <a:endParaRPr lang="es-MX"/>
        </a:p>
      </dgm:t>
    </dgm:pt>
    <dgm:pt modelId="{5B5CE618-7D51-452B-A90B-D5DA65388AC5}" type="sibTrans" cxnId="{794A8FB8-CF4E-4110-BE31-A613BDCE8F84}">
      <dgm:prSet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MX"/>
        </a:p>
      </dgm:t>
    </dgm:pt>
    <dgm:pt modelId="{09A20694-FF57-4FF0-8D9D-CA025FBBF878}">
      <dgm:prSet phldrT="[Text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MX"/>
            <a:t>B-&gt;</a:t>
          </a:r>
        </a:p>
      </dgm:t>
    </dgm:pt>
    <dgm:pt modelId="{195D9742-1EA6-4A51-8D05-AF6E3AAD3720}" type="parTrans" cxnId="{F4CB7011-59E3-4BA5-8760-3A9FAD6E255A}">
      <dgm:prSet/>
      <dgm:spPr/>
      <dgm:t>
        <a:bodyPr/>
        <a:lstStyle/>
        <a:p>
          <a:endParaRPr lang="es-MX"/>
        </a:p>
      </dgm:t>
    </dgm:pt>
    <dgm:pt modelId="{05F6D538-58FB-4E8E-8218-88147395B036}" type="sibTrans" cxnId="{F4CB7011-59E3-4BA5-8760-3A9FAD6E255A}">
      <dgm:prSet/>
      <dgm:spPr/>
      <dgm:t>
        <a:bodyPr/>
        <a:lstStyle/>
        <a:p>
          <a:endParaRPr lang="es-MX"/>
        </a:p>
      </dgm:t>
    </dgm:pt>
    <dgm:pt modelId="{657CEABF-7C63-41A1-92B4-243E370745F2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-&gt;B</a:t>
          </a:r>
        </a:p>
      </dgm:t>
    </dgm:pt>
    <dgm:pt modelId="{39B86CAE-F14B-4971-AD33-4B580C0FA6A2}" type="parTrans" cxnId="{BF9F1771-2944-4733-B2B1-576512ED41DE}">
      <dgm:prSet/>
      <dgm:spPr/>
      <dgm:t>
        <a:bodyPr/>
        <a:lstStyle/>
        <a:p>
          <a:endParaRPr lang="es-MX"/>
        </a:p>
      </dgm:t>
    </dgm:pt>
    <dgm:pt modelId="{C648B024-203B-496F-B47A-95EABF05691F}" type="sibTrans" cxnId="{BF9F1771-2944-4733-B2B1-576512ED41DE}">
      <dgm:prSet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s-MX"/>
        </a:p>
      </dgm:t>
    </dgm:pt>
    <dgm:pt modelId="{1F31DD1A-B48C-408D-8A42-D4D313CE3149}">
      <dgm:prSet phldrT="[Text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R-&gt;</a:t>
          </a:r>
        </a:p>
      </dgm:t>
    </dgm:pt>
    <dgm:pt modelId="{FF0D1D74-385B-48D7-A2A2-B0DB909FF011}" type="parTrans" cxnId="{D7C36798-48A0-4F6E-8365-0142E51377DD}">
      <dgm:prSet/>
      <dgm:spPr/>
      <dgm:t>
        <a:bodyPr/>
        <a:lstStyle/>
        <a:p>
          <a:endParaRPr lang="es-MX"/>
        </a:p>
      </dgm:t>
    </dgm:pt>
    <dgm:pt modelId="{D7843A0B-2CE1-4888-961D-BC16EFD4F4B6}" type="sibTrans" cxnId="{D7C36798-48A0-4F6E-8365-0142E51377DD}">
      <dgm:prSet/>
      <dgm:spPr/>
      <dgm:t>
        <a:bodyPr/>
        <a:lstStyle/>
        <a:p>
          <a:endParaRPr lang="es-MX"/>
        </a:p>
      </dgm:t>
    </dgm:pt>
    <dgm:pt modelId="{E9A77654-33C4-4EDF-9D0E-77984C1BCDF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GG</a:t>
          </a:r>
        </a:p>
      </dgm:t>
    </dgm:pt>
    <dgm:pt modelId="{BDF9D401-BC9B-449C-9DF2-1DCA7D25BF46}" type="parTrans" cxnId="{50841AA7-B5C4-4834-A97B-D99FA5F6F7BE}">
      <dgm:prSet/>
      <dgm:spPr/>
      <dgm:t>
        <a:bodyPr/>
        <a:lstStyle/>
        <a:p>
          <a:endParaRPr lang="es-MX"/>
        </a:p>
      </dgm:t>
    </dgm:pt>
    <dgm:pt modelId="{31115582-54C9-49EA-8197-1576C4A61278}" type="sibTrans" cxnId="{50841AA7-B5C4-4834-A97B-D99FA5F6F7BE}">
      <dgm:prSet/>
      <dgm:spPr/>
      <dgm:t>
        <a:bodyPr/>
        <a:lstStyle/>
        <a:p>
          <a:endParaRPr lang="es-MX"/>
        </a:p>
      </dgm:t>
    </dgm:pt>
    <dgm:pt modelId="{349D6F04-6859-47AE-868D-04AA5E26B89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BB</a:t>
          </a:r>
        </a:p>
      </dgm:t>
    </dgm:pt>
    <dgm:pt modelId="{798EFA24-D79F-4019-ABA3-8D64476C766A}" type="parTrans" cxnId="{8935425F-27D4-4CB6-9DB3-5CA4354F6299}">
      <dgm:prSet/>
      <dgm:spPr/>
      <dgm:t>
        <a:bodyPr/>
        <a:lstStyle/>
        <a:p>
          <a:endParaRPr lang="es-MX"/>
        </a:p>
      </dgm:t>
    </dgm:pt>
    <dgm:pt modelId="{0D99B1B6-13F3-4D69-BD0C-6D77882F34D4}" type="sibTrans" cxnId="{8935425F-27D4-4CB6-9DB3-5CA4354F6299}">
      <dgm:prSet/>
      <dgm:spPr/>
      <dgm:t>
        <a:bodyPr/>
        <a:lstStyle/>
        <a:p>
          <a:endParaRPr lang="es-MX"/>
        </a:p>
      </dgm:t>
    </dgm:pt>
    <dgm:pt modelId="{6DD14055-8768-4B16-8012-CC12BD177E0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RR</a:t>
          </a:r>
        </a:p>
      </dgm:t>
    </dgm:pt>
    <dgm:pt modelId="{C7FD2FA5-96A0-45CE-AFD1-5266C05AAD25}" type="parTrans" cxnId="{D4E5312E-B39A-46C6-B80E-D043E8BE18A8}">
      <dgm:prSet/>
      <dgm:spPr/>
      <dgm:t>
        <a:bodyPr/>
        <a:lstStyle/>
        <a:p>
          <a:endParaRPr lang="es-MX"/>
        </a:p>
      </dgm:t>
    </dgm:pt>
    <dgm:pt modelId="{3C2CA281-FC56-4C2F-9D62-F0E13761574F}" type="sibTrans" cxnId="{D4E5312E-B39A-46C6-B80E-D043E8BE18A8}">
      <dgm:prSet/>
      <dgm:spPr/>
      <dgm:t>
        <a:bodyPr/>
        <a:lstStyle/>
        <a:p>
          <a:endParaRPr lang="es-MX"/>
        </a:p>
      </dgm:t>
    </dgm:pt>
    <dgm:pt modelId="{94BF6AF8-EAE8-4897-8367-CF0CB45950EB}" type="pres">
      <dgm:prSet presAssocID="{4348F0B6-2339-49FF-B792-D272BC81F6A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EE9F3E6-98F3-4926-B492-BEFCBCC1F4AC}" type="pres">
      <dgm:prSet presAssocID="{482CC021-CB1E-45CE-9F8D-B7656304CB2D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68A4E8-A881-443F-B22C-9EA74317C713}" type="pres">
      <dgm:prSet presAssocID="{2D84A505-5CE2-4964-A873-BC1E50625C40}" presName="sibTrans" presStyleLbl="sibTrans2D1" presStyleIdx="0" presStyleCnt="9"/>
      <dgm:spPr/>
      <dgm:t>
        <a:bodyPr/>
        <a:lstStyle/>
        <a:p>
          <a:endParaRPr lang="en-US"/>
        </a:p>
      </dgm:t>
    </dgm:pt>
    <dgm:pt modelId="{62325C6C-FB32-4561-A9E2-1015E16C5ED9}" type="pres">
      <dgm:prSet presAssocID="{2D84A505-5CE2-4964-A873-BC1E50625C40}" presName="connectorText" presStyleLbl="sibTrans2D1" presStyleIdx="0" presStyleCnt="9"/>
      <dgm:spPr/>
      <dgm:t>
        <a:bodyPr/>
        <a:lstStyle/>
        <a:p>
          <a:endParaRPr lang="en-US"/>
        </a:p>
      </dgm:t>
    </dgm:pt>
    <dgm:pt modelId="{05E39505-44FA-4970-B107-E378B641DD24}" type="pres">
      <dgm:prSet presAssocID="{02500148-0325-4042-9276-D1DCC407BEE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C9432F-D821-425C-8492-B56D8389902D}" type="pres">
      <dgm:prSet presAssocID="{2E844700-96E5-457B-92BA-5BB590A0381D}" presName="sibTrans" presStyleLbl="sibTrans2D1" presStyleIdx="1" presStyleCnt="9"/>
      <dgm:spPr/>
      <dgm:t>
        <a:bodyPr/>
        <a:lstStyle/>
        <a:p>
          <a:endParaRPr lang="en-US"/>
        </a:p>
      </dgm:t>
    </dgm:pt>
    <dgm:pt modelId="{BBBBBD29-412D-45EF-BC24-1030AA84696C}" type="pres">
      <dgm:prSet presAssocID="{2E844700-96E5-457B-92BA-5BB590A0381D}" presName="connectorText" presStyleLbl="sibTrans2D1" presStyleIdx="1" presStyleCnt="9"/>
      <dgm:spPr/>
      <dgm:t>
        <a:bodyPr/>
        <a:lstStyle/>
        <a:p>
          <a:endParaRPr lang="en-US"/>
        </a:p>
      </dgm:t>
    </dgm:pt>
    <dgm:pt modelId="{2869522C-0D7F-41AD-BA09-C1CDF7E1C510}" type="pres">
      <dgm:prSet presAssocID="{E9A77654-33C4-4EDF-9D0E-77984C1BCDFD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F3C564-FD52-4D0E-94F9-79FF26F10528}" type="pres">
      <dgm:prSet presAssocID="{31115582-54C9-49EA-8197-1576C4A61278}" presName="sibTrans" presStyleLbl="sibTrans2D1" presStyleIdx="2" presStyleCnt="9"/>
      <dgm:spPr/>
      <dgm:t>
        <a:bodyPr/>
        <a:lstStyle/>
        <a:p>
          <a:endParaRPr lang="en-US"/>
        </a:p>
      </dgm:t>
    </dgm:pt>
    <dgm:pt modelId="{406BBE6B-2314-4F11-A63A-7E7C13956799}" type="pres">
      <dgm:prSet presAssocID="{31115582-54C9-49EA-8197-1576C4A61278}" presName="connectorText" presStyleLbl="sibTrans2D1" presStyleIdx="2" presStyleCnt="9"/>
      <dgm:spPr/>
      <dgm:t>
        <a:bodyPr/>
        <a:lstStyle/>
        <a:p>
          <a:endParaRPr lang="en-US"/>
        </a:p>
      </dgm:t>
    </dgm:pt>
    <dgm:pt modelId="{4AABB7CE-16C9-43FE-9F0D-2943EB600C47}" type="pres">
      <dgm:prSet presAssocID="{8931E4F1-8B67-433B-A69C-710EBE94B06E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93AC45-13AD-4FFB-BC09-2AD32206EF32}" type="pres">
      <dgm:prSet presAssocID="{5B5CE618-7D51-452B-A90B-D5DA65388AC5}" presName="sibTrans" presStyleLbl="sibTrans2D1" presStyleIdx="3" presStyleCnt="9"/>
      <dgm:spPr/>
      <dgm:t>
        <a:bodyPr/>
        <a:lstStyle/>
        <a:p>
          <a:endParaRPr lang="en-US"/>
        </a:p>
      </dgm:t>
    </dgm:pt>
    <dgm:pt modelId="{9257F035-7952-40EB-9689-62412BDC21BC}" type="pres">
      <dgm:prSet presAssocID="{5B5CE618-7D51-452B-A90B-D5DA65388AC5}" presName="connectorText" presStyleLbl="sibTrans2D1" presStyleIdx="3" presStyleCnt="9"/>
      <dgm:spPr/>
      <dgm:t>
        <a:bodyPr/>
        <a:lstStyle/>
        <a:p>
          <a:endParaRPr lang="en-US"/>
        </a:p>
      </dgm:t>
    </dgm:pt>
    <dgm:pt modelId="{4C89971C-9C2C-4271-8D8A-559CEBF3ADD4}" type="pres">
      <dgm:prSet presAssocID="{09A20694-FF57-4FF0-8D9D-CA025FBBF878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97A23A-6F52-47D1-9EA9-60A889AB4ACC}" type="pres">
      <dgm:prSet presAssocID="{05F6D538-58FB-4E8E-8218-88147395B036}" presName="sibTrans" presStyleLbl="sibTrans2D1" presStyleIdx="4" presStyleCnt="9"/>
      <dgm:spPr/>
      <dgm:t>
        <a:bodyPr/>
        <a:lstStyle/>
        <a:p>
          <a:endParaRPr lang="en-US"/>
        </a:p>
      </dgm:t>
    </dgm:pt>
    <dgm:pt modelId="{6A94EE36-05AD-4098-8D20-07908FF57F0D}" type="pres">
      <dgm:prSet presAssocID="{05F6D538-58FB-4E8E-8218-88147395B036}" presName="connectorText" presStyleLbl="sibTrans2D1" presStyleIdx="4" presStyleCnt="9"/>
      <dgm:spPr/>
      <dgm:t>
        <a:bodyPr/>
        <a:lstStyle/>
        <a:p>
          <a:endParaRPr lang="en-US"/>
        </a:p>
      </dgm:t>
    </dgm:pt>
    <dgm:pt modelId="{1D8FE4BC-8D0E-4199-B601-71E6B4568355}" type="pres">
      <dgm:prSet presAssocID="{349D6F04-6859-47AE-868D-04AA5E26B894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4F76C7-CF6E-43FC-A057-B819A7100608}" type="pres">
      <dgm:prSet presAssocID="{0D99B1B6-13F3-4D69-BD0C-6D77882F34D4}" presName="sibTrans" presStyleLbl="sibTrans2D1" presStyleIdx="5" presStyleCnt="9"/>
      <dgm:spPr/>
      <dgm:t>
        <a:bodyPr/>
        <a:lstStyle/>
        <a:p>
          <a:endParaRPr lang="en-US"/>
        </a:p>
      </dgm:t>
    </dgm:pt>
    <dgm:pt modelId="{33E8B3C0-9711-4042-A1A0-AB3F922EAD11}" type="pres">
      <dgm:prSet presAssocID="{0D99B1B6-13F3-4D69-BD0C-6D77882F34D4}" presName="connectorText" presStyleLbl="sibTrans2D1" presStyleIdx="5" presStyleCnt="9"/>
      <dgm:spPr/>
      <dgm:t>
        <a:bodyPr/>
        <a:lstStyle/>
        <a:p>
          <a:endParaRPr lang="en-US"/>
        </a:p>
      </dgm:t>
    </dgm:pt>
    <dgm:pt modelId="{69389174-F64C-45E7-8A7E-07EE79CA05A8}" type="pres">
      <dgm:prSet presAssocID="{657CEABF-7C63-41A1-92B4-243E370745F2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AAC1BC-FD64-4E7A-BC82-008FA6864B0C}" type="pres">
      <dgm:prSet presAssocID="{C648B024-203B-496F-B47A-95EABF05691F}" presName="sibTrans" presStyleLbl="sibTrans2D1" presStyleIdx="6" presStyleCnt="9"/>
      <dgm:spPr/>
      <dgm:t>
        <a:bodyPr/>
        <a:lstStyle/>
        <a:p>
          <a:endParaRPr lang="en-US"/>
        </a:p>
      </dgm:t>
    </dgm:pt>
    <dgm:pt modelId="{1E430E3A-594A-447B-A9CD-158CDFD61F21}" type="pres">
      <dgm:prSet presAssocID="{C648B024-203B-496F-B47A-95EABF05691F}" presName="connectorText" presStyleLbl="sibTrans2D1" presStyleIdx="6" presStyleCnt="9"/>
      <dgm:spPr/>
      <dgm:t>
        <a:bodyPr/>
        <a:lstStyle/>
        <a:p>
          <a:endParaRPr lang="en-US"/>
        </a:p>
      </dgm:t>
    </dgm:pt>
    <dgm:pt modelId="{3C1A4A8F-9813-4468-A581-15CE11ED0CFC}" type="pres">
      <dgm:prSet presAssocID="{1F31DD1A-B48C-408D-8A42-D4D313CE3149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73107D-A907-44C9-9EFC-C666BBED1FA9}" type="pres">
      <dgm:prSet presAssocID="{D7843A0B-2CE1-4888-961D-BC16EFD4F4B6}" presName="sibTrans" presStyleLbl="sibTrans2D1" presStyleIdx="7" presStyleCnt="9"/>
      <dgm:spPr/>
      <dgm:t>
        <a:bodyPr/>
        <a:lstStyle/>
        <a:p>
          <a:endParaRPr lang="en-US"/>
        </a:p>
      </dgm:t>
    </dgm:pt>
    <dgm:pt modelId="{8EE8FA2C-3B2A-4D9D-9AAC-950CC083E74E}" type="pres">
      <dgm:prSet presAssocID="{D7843A0B-2CE1-4888-961D-BC16EFD4F4B6}" presName="connectorText" presStyleLbl="sibTrans2D1" presStyleIdx="7" presStyleCnt="9"/>
      <dgm:spPr/>
      <dgm:t>
        <a:bodyPr/>
        <a:lstStyle/>
        <a:p>
          <a:endParaRPr lang="en-US"/>
        </a:p>
      </dgm:t>
    </dgm:pt>
    <dgm:pt modelId="{5180231D-2EA2-40A3-BD3C-2F70116A293C}" type="pres">
      <dgm:prSet presAssocID="{6DD14055-8768-4B16-8012-CC12BD177E0D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7E1B2A-F6DA-4548-9C09-10DE22089FB6}" type="pres">
      <dgm:prSet presAssocID="{3C2CA281-FC56-4C2F-9D62-F0E13761574F}" presName="sibTrans" presStyleLbl="sibTrans2D1" presStyleIdx="8" presStyleCnt="9"/>
      <dgm:spPr/>
      <dgm:t>
        <a:bodyPr/>
        <a:lstStyle/>
        <a:p>
          <a:endParaRPr lang="en-US"/>
        </a:p>
      </dgm:t>
    </dgm:pt>
    <dgm:pt modelId="{C599F402-C719-4744-B610-356F456EA4D4}" type="pres">
      <dgm:prSet presAssocID="{3C2CA281-FC56-4C2F-9D62-F0E13761574F}" presName="connectorText" presStyleLbl="sibTrans2D1" presStyleIdx="8" presStyleCnt="9"/>
      <dgm:spPr/>
      <dgm:t>
        <a:bodyPr/>
        <a:lstStyle/>
        <a:p>
          <a:endParaRPr lang="en-US"/>
        </a:p>
      </dgm:t>
    </dgm:pt>
  </dgm:ptLst>
  <dgm:cxnLst>
    <dgm:cxn modelId="{025F79AE-E024-4BE0-A690-B8EF283A95E3}" type="presOf" srcId="{6DD14055-8768-4B16-8012-CC12BD177E0D}" destId="{5180231D-2EA2-40A3-BD3C-2F70116A293C}" srcOrd="0" destOrd="0" presId="urn:microsoft.com/office/officeart/2005/8/layout/cycle2"/>
    <dgm:cxn modelId="{73751CF7-B79B-4C28-9704-0EF3C0CB2B12}" type="presOf" srcId="{D7843A0B-2CE1-4888-961D-BC16EFD4F4B6}" destId="{5173107D-A907-44C9-9EFC-C666BBED1FA9}" srcOrd="0" destOrd="0" presId="urn:microsoft.com/office/officeart/2005/8/layout/cycle2"/>
    <dgm:cxn modelId="{14887B32-7401-420D-B4E6-3751A32ECBD4}" type="presOf" srcId="{2E844700-96E5-457B-92BA-5BB590A0381D}" destId="{7BC9432F-D821-425C-8492-B56D8389902D}" srcOrd="0" destOrd="0" presId="urn:microsoft.com/office/officeart/2005/8/layout/cycle2"/>
    <dgm:cxn modelId="{CCE7CCD6-414F-4B20-B96A-9D6FEBF3F944}" type="presOf" srcId="{5B5CE618-7D51-452B-A90B-D5DA65388AC5}" destId="{CC93AC45-13AD-4FFB-BC09-2AD32206EF32}" srcOrd="0" destOrd="0" presId="urn:microsoft.com/office/officeart/2005/8/layout/cycle2"/>
    <dgm:cxn modelId="{BD762530-043B-47F6-A997-AF3D5D514D04}" type="presOf" srcId="{31115582-54C9-49EA-8197-1576C4A61278}" destId="{E4F3C564-FD52-4D0E-94F9-79FF26F10528}" srcOrd="0" destOrd="0" presId="urn:microsoft.com/office/officeart/2005/8/layout/cycle2"/>
    <dgm:cxn modelId="{D4E5312E-B39A-46C6-B80E-D043E8BE18A8}" srcId="{4348F0B6-2339-49FF-B792-D272BC81F6AC}" destId="{6DD14055-8768-4B16-8012-CC12BD177E0D}" srcOrd="8" destOrd="0" parTransId="{C7FD2FA5-96A0-45CE-AFD1-5266C05AAD25}" sibTransId="{3C2CA281-FC56-4C2F-9D62-F0E13761574F}"/>
    <dgm:cxn modelId="{980F743B-74FA-4FCA-AE1C-45B9ED87431B}" type="presOf" srcId="{02500148-0325-4042-9276-D1DCC407BEE9}" destId="{05E39505-44FA-4970-B107-E378B641DD24}" srcOrd="0" destOrd="0" presId="urn:microsoft.com/office/officeart/2005/8/layout/cycle2"/>
    <dgm:cxn modelId="{DFE7DC67-8718-4D66-BC34-DDA0AC7E9801}" type="presOf" srcId="{C648B024-203B-496F-B47A-95EABF05691F}" destId="{20AAC1BC-FD64-4E7A-BC82-008FA6864B0C}" srcOrd="0" destOrd="0" presId="urn:microsoft.com/office/officeart/2005/8/layout/cycle2"/>
    <dgm:cxn modelId="{E750314A-F696-4CCD-BAE2-B5EE40F05CB1}" type="presOf" srcId="{8931E4F1-8B67-433B-A69C-710EBE94B06E}" destId="{4AABB7CE-16C9-43FE-9F0D-2943EB600C47}" srcOrd="0" destOrd="0" presId="urn:microsoft.com/office/officeart/2005/8/layout/cycle2"/>
    <dgm:cxn modelId="{50841AA7-B5C4-4834-A97B-D99FA5F6F7BE}" srcId="{4348F0B6-2339-49FF-B792-D272BC81F6AC}" destId="{E9A77654-33C4-4EDF-9D0E-77984C1BCDFD}" srcOrd="2" destOrd="0" parTransId="{BDF9D401-BC9B-449C-9DF2-1DCA7D25BF46}" sibTransId="{31115582-54C9-49EA-8197-1576C4A61278}"/>
    <dgm:cxn modelId="{3FB1C393-2231-4811-9433-22879F3DCC73}" type="presOf" srcId="{0D99B1B6-13F3-4D69-BD0C-6D77882F34D4}" destId="{33E8B3C0-9711-4042-A1A0-AB3F922EAD11}" srcOrd="1" destOrd="0" presId="urn:microsoft.com/office/officeart/2005/8/layout/cycle2"/>
    <dgm:cxn modelId="{6AE789D4-508C-4380-B7B7-574EA6312E73}" type="presOf" srcId="{349D6F04-6859-47AE-868D-04AA5E26B894}" destId="{1D8FE4BC-8D0E-4199-B601-71E6B4568355}" srcOrd="0" destOrd="0" presId="urn:microsoft.com/office/officeart/2005/8/layout/cycle2"/>
    <dgm:cxn modelId="{601331E0-CC64-4B0D-8AA8-6C57749D1687}" type="presOf" srcId="{0D99B1B6-13F3-4D69-BD0C-6D77882F34D4}" destId="{BB4F76C7-CF6E-43FC-A057-B819A7100608}" srcOrd="0" destOrd="0" presId="urn:microsoft.com/office/officeart/2005/8/layout/cycle2"/>
    <dgm:cxn modelId="{6E15684B-8DCE-48F6-A300-396BA2DB24B1}" type="presOf" srcId="{09A20694-FF57-4FF0-8D9D-CA025FBBF878}" destId="{4C89971C-9C2C-4271-8D8A-559CEBF3ADD4}" srcOrd="0" destOrd="0" presId="urn:microsoft.com/office/officeart/2005/8/layout/cycle2"/>
    <dgm:cxn modelId="{794A8FB8-CF4E-4110-BE31-A613BDCE8F84}" srcId="{4348F0B6-2339-49FF-B792-D272BC81F6AC}" destId="{8931E4F1-8B67-433B-A69C-710EBE94B06E}" srcOrd="3" destOrd="0" parTransId="{3BE542B7-D54E-4811-BEB4-33F39939133A}" sibTransId="{5B5CE618-7D51-452B-A90B-D5DA65388AC5}"/>
    <dgm:cxn modelId="{2D838D9A-12C6-454C-BCE3-E7200A3D2DD3}" type="presOf" srcId="{2E844700-96E5-457B-92BA-5BB590A0381D}" destId="{BBBBBD29-412D-45EF-BC24-1030AA84696C}" srcOrd="1" destOrd="0" presId="urn:microsoft.com/office/officeart/2005/8/layout/cycle2"/>
    <dgm:cxn modelId="{7BB36D0C-17D3-49FB-8027-3FF0C69D4241}" type="presOf" srcId="{E9A77654-33C4-4EDF-9D0E-77984C1BCDFD}" destId="{2869522C-0D7F-41AD-BA09-C1CDF7E1C510}" srcOrd="0" destOrd="0" presId="urn:microsoft.com/office/officeart/2005/8/layout/cycle2"/>
    <dgm:cxn modelId="{396276C0-B3CD-4EE5-836C-81DDEC966C38}" type="presOf" srcId="{2D84A505-5CE2-4964-A873-BC1E50625C40}" destId="{62325C6C-FB32-4561-A9E2-1015E16C5ED9}" srcOrd="1" destOrd="0" presId="urn:microsoft.com/office/officeart/2005/8/layout/cycle2"/>
    <dgm:cxn modelId="{F4CB7011-59E3-4BA5-8760-3A9FAD6E255A}" srcId="{4348F0B6-2339-49FF-B792-D272BC81F6AC}" destId="{09A20694-FF57-4FF0-8D9D-CA025FBBF878}" srcOrd="4" destOrd="0" parTransId="{195D9742-1EA6-4A51-8D05-AF6E3AAD3720}" sibTransId="{05F6D538-58FB-4E8E-8218-88147395B036}"/>
    <dgm:cxn modelId="{3810FFA0-FC25-426B-9AF7-61F4E61F6816}" type="presOf" srcId="{3C2CA281-FC56-4C2F-9D62-F0E13761574F}" destId="{C599F402-C719-4744-B610-356F456EA4D4}" srcOrd="1" destOrd="0" presId="urn:microsoft.com/office/officeart/2005/8/layout/cycle2"/>
    <dgm:cxn modelId="{01731651-4332-4439-8175-9C02E8E8176D}" type="presOf" srcId="{657CEABF-7C63-41A1-92B4-243E370745F2}" destId="{69389174-F64C-45E7-8A7E-07EE79CA05A8}" srcOrd="0" destOrd="0" presId="urn:microsoft.com/office/officeart/2005/8/layout/cycle2"/>
    <dgm:cxn modelId="{39EBBD22-C218-4615-BABD-9296F1D46F0F}" type="presOf" srcId="{31115582-54C9-49EA-8197-1576C4A61278}" destId="{406BBE6B-2314-4F11-A63A-7E7C13956799}" srcOrd="1" destOrd="0" presId="urn:microsoft.com/office/officeart/2005/8/layout/cycle2"/>
    <dgm:cxn modelId="{D7C36798-48A0-4F6E-8365-0142E51377DD}" srcId="{4348F0B6-2339-49FF-B792-D272BC81F6AC}" destId="{1F31DD1A-B48C-408D-8A42-D4D313CE3149}" srcOrd="7" destOrd="0" parTransId="{FF0D1D74-385B-48D7-A2A2-B0DB909FF011}" sibTransId="{D7843A0B-2CE1-4888-961D-BC16EFD4F4B6}"/>
    <dgm:cxn modelId="{BF9F1771-2944-4733-B2B1-576512ED41DE}" srcId="{4348F0B6-2339-49FF-B792-D272BC81F6AC}" destId="{657CEABF-7C63-41A1-92B4-243E370745F2}" srcOrd="6" destOrd="0" parTransId="{39B86CAE-F14B-4971-AD33-4B580C0FA6A2}" sibTransId="{C648B024-203B-496F-B47A-95EABF05691F}"/>
    <dgm:cxn modelId="{51C9F272-3FD0-49DB-BEA9-BE9C4EDDC79C}" type="presOf" srcId="{482CC021-CB1E-45CE-9F8D-B7656304CB2D}" destId="{3EE9F3E6-98F3-4926-B492-BEFCBCC1F4AC}" srcOrd="0" destOrd="0" presId="urn:microsoft.com/office/officeart/2005/8/layout/cycle2"/>
    <dgm:cxn modelId="{FBC6DEA6-28D1-4B26-858D-EAD02A75BAA0}" type="presOf" srcId="{D7843A0B-2CE1-4888-961D-BC16EFD4F4B6}" destId="{8EE8FA2C-3B2A-4D9D-9AAC-950CC083E74E}" srcOrd="1" destOrd="0" presId="urn:microsoft.com/office/officeart/2005/8/layout/cycle2"/>
    <dgm:cxn modelId="{8E93DBCB-46D7-42BC-83B8-3E1F3849C63C}" type="presOf" srcId="{05F6D538-58FB-4E8E-8218-88147395B036}" destId="{5A97A23A-6F52-47D1-9EA9-60A889AB4ACC}" srcOrd="0" destOrd="0" presId="urn:microsoft.com/office/officeart/2005/8/layout/cycle2"/>
    <dgm:cxn modelId="{6EDBF533-488A-457F-B15B-86675C6BE7E3}" srcId="{4348F0B6-2339-49FF-B792-D272BC81F6AC}" destId="{482CC021-CB1E-45CE-9F8D-B7656304CB2D}" srcOrd="0" destOrd="0" parTransId="{376B8510-C650-4685-A0C1-1D4681942DEE}" sibTransId="{2D84A505-5CE2-4964-A873-BC1E50625C40}"/>
    <dgm:cxn modelId="{5552AC41-8D89-4D41-9533-D55F38DDA4BD}" type="presOf" srcId="{05F6D538-58FB-4E8E-8218-88147395B036}" destId="{6A94EE36-05AD-4098-8D20-07908FF57F0D}" srcOrd="1" destOrd="0" presId="urn:microsoft.com/office/officeart/2005/8/layout/cycle2"/>
    <dgm:cxn modelId="{116C9751-7E65-4476-9220-C4E4DCBC1AAD}" type="presOf" srcId="{5B5CE618-7D51-452B-A90B-D5DA65388AC5}" destId="{9257F035-7952-40EB-9689-62412BDC21BC}" srcOrd="1" destOrd="0" presId="urn:microsoft.com/office/officeart/2005/8/layout/cycle2"/>
    <dgm:cxn modelId="{DDEDA253-1020-47D8-B012-CD3737549A1F}" type="presOf" srcId="{4348F0B6-2339-49FF-B792-D272BC81F6AC}" destId="{94BF6AF8-EAE8-4897-8367-CF0CB45950EB}" srcOrd="0" destOrd="0" presId="urn:microsoft.com/office/officeart/2005/8/layout/cycle2"/>
    <dgm:cxn modelId="{1B399A5B-5DF0-4926-939F-38CBC2DBCCD3}" type="presOf" srcId="{3C2CA281-FC56-4C2F-9D62-F0E13761574F}" destId="{6F7E1B2A-F6DA-4548-9C09-10DE22089FB6}" srcOrd="0" destOrd="0" presId="urn:microsoft.com/office/officeart/2005/8/layout/cycle2"/>
    <dgm:cxn modelId="{3162BB3C-3336-4C73-A009-58509DA4DD2E}" type="presOf" srcId="{1F31DD1A-B48C-408D-8A42-D4D313CE3149}" destId="{3C1A4A8F-9813-4468-A581-15CE11ED0CFC}" srcOrd="0" destOrd="0" presId="urn:microsoft.com/office/officeart/2005/8/layout/cycle2"/>
    <dgm:cxn modelId="{2E33DCA7-4384-4858-A88A-DD472A19C861}" type="presOf" srcId="{2D84A505-5CE2-4964-A873-BC1E50625C40}" destId="{B668A4E8-A881-443F-B22C-9EA74317C713}" srcOrd="0" destOrd="0" presId="urn:microsoft.com/office/officeart/2005/8/layout/cycle2"/>
    <dgm:cxn modelId="{5E7676EC-01C9-4BB3-98C8-EBD64B90E3AE}" srcId="{4348F0B6-2339-49FF-B792-D272BC81F6AC}" destId="{02500148-0325-4042-9276-D1DCC407BEE9}" srcOrd="1" destOrd="0" parTransId="{3FA76483-C800-42C2-B94F-2E276D5D811A}" sibTransId="{2E844700-96E5-457B-92BA-5BB590A0381D}"/>
    <dgm:cxn modelId="{A51E5D39-C789-452F-8DBD-9F655B5BF604}" type="presOf" srcId="{C648B024-203B-496F-B47A-95EABF05691F}" destId="{1E430E3A-594A-447B-A9CD-158CDFD61F21}" srcOrd="1" destOrd="0" presId="urn:microsoft.com/office/officeart/2005/8/layout/cycle2"/>
    <dgm:cxn modelId="{8935425F-27D4-4CB6-9DB3-5CA4354F6299}" srcId="{4348F0B6-2339-49FF-B792-D272BC81F6AC}" destId="{349D6F04-6859-47AE-868D-04AA5E26B894}" srcOrd="5" destOrd="0" parTransId="{798EFA24-D79F-4019-ABA3-8D64476C766A}" sibTransId="{0D99B1B6-13F3-4D69-BD0C-6D77882F34D4}"/>
    <dgm:cxn modelId="{CABDD750-93A5-409E-AA8C-277C53D533C2}" type="presParOf" srcId="{94BF6AF8-EAE8-4897-8367-CF0CB45950EB}" destId="{3EE9F3E6-98F3-4926-B492-BEFCBCC1F4AC}" srcOrd="0" destOrd="0" presId="urn:microsoft.com/office/officeart/2005/8/layout/cycle2"/>
    <dgm:cxn modelId="{2F9FCA48-03F1-4A8E-91E1-C1298E75CCE1}" type="presParOf" srcId="{94BF6AF8-EAE8-4897-8367-CF0CB45950EB}" destId="{B668A4E8-A881-443F-B22C-9EA74317C713}" srcOrd="1" destOrd="0" presId="urn:microsoft.com/office/officeart/2005/8/layout/cycle2"/>
    <dgm:cxn modelId="{7725C07F-CB16-4295-B675-FDEF7AFD4BB4}" type="presParOf" srcId="{B668A4E8-A881-443F-B22C-9EA74317C713}" destId="{62325C6C-FB32-4561-A9E2-1015E16C5ED9}" srcOrd="0" destOrd="0" presId="urn:microsoft.com/office/officeart/2005/8/layout/cycle2"/>
    <dgm:cxn modelId="{A68913A4-E281-427C-A146-91A9BDEF8D36}" type="presParOf" srcId="{94BF6AF8-EAE8-4897-8367-CF0CB45950EB}" destId="{05E39505-44FA-4970-B107-E378B641DD24}" srcOrd="2" destOrd="0" presId="urn:microsoft.com/office/officeart/2005/8/layout/cycle2"/>
    <dgm:cxn modelId="{BC1D712C-6D2A-4D83-ADAD-FEE952121B2C}" type="presParOf" srcId="{94BF6AF8-EAE8-4897-8367-CF0CB45950EB}" destId="{7BC9432F-D821-425C-8492-B56D8389902D}" srcOrd="3" destOrd="0" presId="urn:microsoft.com/office/officeart/2005/8/layout/cycle2"/>
    <dgm:cxn modelId="{CCC9A2C0-30CE-4635-BBCD-9AA389015418}" type="presParOf" srcId="{7BC9432F-D821-425C-8492-B56D8389902D}" destId="{BBBBBD29-412D-45EF-BC24-1030AA84696C}" srcOrd="0" destOrd="0" presId="urn:microsoft.com/office/officeart/2005/8/layout/cycle2"/>
    <dgm:cxn modelId="{398900A4-7D16-4970-B30F-3F5351C55795}" type="presParOf" srcId="{94BF6AF8-EAE8-4897-8367-CF0CB45950EB}" destId="{2869522C-0D7F-41AD-BA09-C1CDF7E1C510}" srcOrd="4" destOrd="0" presId="urn:microsoft.com/office/officeart/2005/8/layout/cycle2"/>
    <dgm:cxn modelId="{7BD8C40C-3440-4EB6-A596-4386E2C7B862}" type="presParOf" srcId="{94BF6AF8-EAE8-4897-8367-CF0CB45950EB}" destId="{E4F3C564-FD52-4D0E-94F9-79FF26F10528}" srcOrd="5" destOrd="0" presId="urn:microsoft.com/office/officeart/2005/8/layout/cycle2"/>
    <dgm:cxn modelId="{175F6BB5-F39D-4D44-A9CE-4A9B16720C8D}" type="presParOf" srcId="{E4F3C564-FD52-4D0E-94F9-79FF26F10528}" destId="{406BBE6B-2314-4F11-A63A-7E7C13956799}" srcOrd="0" destOrd="0" presId="urn:microsoft.com/office/officeart/2005/8/layout/cycle2"/>
    <dgm:cxn modelId="{67EE5405-81F5-4BE8-A04C-7D36CF5533C3}" type="presParOf" srcId="{94BF6AF8-EAE8-4897-8367-CF0CB45950EB}" destId="{4AABB7CE-16C9-43FE-9F0D-2943EB600C47}" srcOrd="6" destOrd="0" presId="urn:microsoft.com/office/officeart/2005/8/layout/cycle2"/>
    <dgm:cxn modelId="{5655CC5D-45A0-4751-846D-4CC1E5E083F5}" type="presParOf" srcId="{94BF6AF8-EAE8-4897-8367-CF0CB45950EB}" destId="{CC93AC45-13AD-4FFB-BC09-2AD32206EF32}" srcOrd="7" destOrd="0" presId="urn:microsoft.com/office/officeart/2005/8/layout/cycle2"/>
    <dgm:cxn modelId="{1C2C0546-C3BD-4C08-B352-8308B77E6991}" type="presParOf" srcId="{CC93AC45-13AD-4FFB-BC09-2AD32206EF32}" destId="{9257F035-7952-40EB-9689-62412BDC21BC}" srcOrd="0" destOrd="0" presId="urn:microsoft.com/office/officeart/2005/8/layout/cycle2"/>
    <dgm:cxn modelId="{21B6310D-2A6C-4604-99F6-A97F99CBF14E}" type="presParOf" srcId="{94BF6AF8-EAE8-4897-8367-CF0CB45950EB}" destId="{4C89971C-9C2C-4271-8D8A-559CEBF3ADD4}" srcOrd="8" destOrd="0" presId="urn:microsoft.com/office/officeart/2005/8/layout/cycle2"/>
    <dgm:cxn modelId="{DB301302-255A-483E-B3FC-E1C3C13D33E6}" type="presParOf" srcId="{94BF6AF8-EAE8-4897-8367-CF0CB45950EB}" destId="{5A97A23A-6F52-47D1-9EA9-60A889AB4ACC}" srcOrd="9" destOrd="0" presId="urn:microsoft.com/office/officeart/2005/8/layout/cycle2"/>
    <dgm:cxn modelId="{DA6CDDEB-BCB4-4F0E-B79B-F5F5360191F4}" type="presParOf" srcId="{5A97A23A-6F52-47D1-9EA9-60A889AB4ACC}" destId="{6A94EE36-05AD-4098-8D20-07908FF57F0D}" srcOrd="0" destOrd="0" presId="urn:microsoft.com/office/officeart/2005/8/layout/cycle2"/>
    <dgm:cxn modelId="{6E957494-660B-4DD6-B5CB-22C16A94AB40}" type="presParOf" srcId="{94BF6AF8-EAE8-4897-8367-CF0CB45950EB}" destId="{1D8FE4BC-8D0E-4199-B601-71E6B4568355}" srcOrd="10" destOrd="0" presId="urn:microsoft.com/office/officeart/2005/8/layout/cycle2"/>
    <dgm:cxn modelId="{6175EB7B-B69B-4BD0-AEF5-899941C686CD}" type="presParOf" srcId="{94BF6AF8-EAE8-4897-8367-CF0CB45950EB}" destId="{BB4F76C7-CF6E-43FC-A057-B819A7100608}" srcOrd="11" destOrd="0" presId="urn:microsoft.com/office/officeart/2005/8/layout/cycle2"/>
    <dgm:cxn modelId="{165209F4-7BBB-4B39-9799-8A03C002A314}" type="presParOf" srcId="{BB4F76C7-CF6E-43FC-A057-B819A7100608}" destId="{33E8B3C0-9711-4042-A1A0-AB3F922EAD11}" srcOrd="0" destOrd="0" presId="urn:microsoft.com/office/officeart/2005/8/layout/cycle2"/>
    <dgm:cxn modelId="{E7BCA7D5-70FE-4550-B787-DA6E6F87F30B}" type="presParOf" srcId="{94BF6AF8-EAE8-4897-8367-CF0CB45950EB}" destId="{69389174-F64C-45E7-8A7E-07EE79CA05A8}" srcOrd="12" destOrd="0" presId="urn:microsoft.com/office/officeart/2005/8/layout/cycle2"/>
    <dgm:cxn modelId="{D965CFD3-C594-4297-AEE6-D665D2D0A372}" type="presParOf" srcId="{94BF6AF8-EAE8-4897-8367-CF0CB45950EB}" destId="{20AAC1BC-FD64-4E7A-BC82-008FA6864B0C}" srcOrd="13" destOrd="0" presId="urn:microsoft.com/office/officeart/2005/8/layout/cycle2"/>
    <dgm:cxn modelId="{F2D82998-B6D4-41A2-AC4C-7D86A17A8B31}" type="presParOf" srcId="{20AAC1BC-FD64-4E7A-BC82-008FA6864B0C}" destId="{1E430E3A-594A-447B-A9CD-158CDFD61F21}" srcOrd="0" destOrd="0" presId="urn:microsoft.com/office/officeart/2005/8/layout/cycle2"/>
    <dgm:cxn modelId="{A596210F-8455-464D-96D3-AD7414CB704F}" type="presParOf" srcId="{94BF6AF8-EAE8-4897-8367-CF0CB45950EB}" destId="{3C1A4A8F-9813-4468-A581-15CE11ED0CFC}" srcOrd="14" destOrd="0" presId="urn:microsoft.com/office/officeart/2005/8/layout/cycle2"/>
    <dgm:cxn modelId="{4C9A04D9-1D97-4731-9186-6B8C268CD7E5}" type="presParOf" srcId="{94BF6AF8-EAE8-4897-8367-CF0CB45950EB}" destId="{5173107D-A907-44C9-9EFC-C666BBED1FA9}" srcOrd="15" destOrd="0" presId="urn:microsoft.com/office/officeart/2005/8/layout/cycle2"/>
    <dgm:cxn modelId="{6F94D993-0004-434D-8B28-DDCC4175E391}" type="presParOf" srcId="{5173107D-A907-44C9-9EFC-C666BBED1FA9}" destId="{8EE8FA2C-3B2A-4D9D-9AAC-950CC083E74E}" srcOrd="0" destOrd="0" presId="urn:microsoft.com/office/officeart/2005/8/layout/cycle2"/>
    <dgm:cxn modelId="{09D2FA0E-AB72-4D51-B107-AF874D27078E}" type="presParOf" srcId="{94BF6AF8-EAE8-4897-8367-CF0CB45950EB}" destId="{5180231D-2EA2-40A3-BD3C-2F70116A293C}" srcOrd="16" destOrd="0" presId="urn:microsoft.com/office/officeart/2005/8/layout/cycle2"/>
    <dgm:cxn modelId="{7A563147-86F8-4D1F-8C44-9EF1A9D676A5}" type="presParOf" srcId="{94BF6AF8-EAE8-4897-8367-CF0CB45950EB}" destId="{6F7E1B2A-F6DA-4548-9C09-10DE22089FB6}" srcOrd="17" destOrd="0" presId="urn:microsoft.com/office/officeart/2005/8/layout/cycle2"/>
    <dgm:cxn modelId="{01249FDA-A24F-4F8F-A07B-6D760B378591}" type="presParOf" srcId="{6F7E1B2A-F6DA-4548-9C09-10DE22089FB6}" destId="{C599F402-C719-4744-B610-356F456EA4D4}" srcOrd="0" destOrd="0" presId="urn:microsoft.com/office/officeart/2005/8/layout/cycle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DC4030-49FD-49D2-BFD2-7D443C053B3E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5832B9B-24C3-47D4-91EA-50FD6AA1841A}">
      <dgm:prSet phldrT="[Text]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/>
            <a:t>RG</a:t>
          </a:r>
        </a:p>
      </dgm:t>
    </dgm:pt>
    <dgm:pt modelId="{688C70A3-F1F1-4D55-BEFD-C9BA7DCF91EC}" type="parTrans" cxnId="{97328411-535C-414B-B620-E62588DFC964}">
      <dgm:prSet/>
      <dgm:spPr/>
      <dgm:t>
        <a:bodyPr/>
        <a:lstStyle/>
        <a:p>
          <a:endParaRPr lang="en-US"/>
        </a:p>
      </dgm:t>
    </dgm:pt>
    <dgm:pt modelId="{F182C30C-1871-41DE-8C6F-88A173B01E3A}" type="sibTrans" cxnId="{97328411-535C-414B-B620-E62588DFC964}">
      <dgm:prSet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n-US"/>
        </a:p>
      </dgm:t>
    </dgm:pt>
    <dgm:pt modelId="{DB61F6E5-5C2A-4042-8D32-D9F3091E4D6D}">
      <dgm:prSet phldrT="[Text]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/>
            <a:t>GB</a:t>
          </a:r>
        </a:p>
      </dgm:t>
    </dgm:pt>
    <dgm:pt modelId="{6BDF20C8-68AA-440C-8603-29B6CF51F34C}" type="parTrans" cxnId="{DB5DB852-4A55-4789-AFC0-E900D36A6015}">
      <dgm:prSet/>
      <dgm:spPr/>
      <dgm:t>
        <a:bodyPr/>
        <a:lstStyle/>
        <a:p>
          <a:endParaRPr lang="en-US"/>
        </a:p>
      </dgm:t>
    </dgm:pt>
    <dgm:pt modelId="{9B2FC010-6C1C-4EE5-B203-EB7672EFE044}" type="sibTrans" cxnId="{DB5DB852-4A55-4789-AFC0-E900D36A6015}">
      <dgm:prSet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n-US"/>
        </a:p>
      </dgm:t>
    </dgm:pt>
    <dgm:pt modelId="{CC33B2FC-A7D5-4672-9AD4-C69F7DB8F90B}">
      <dgm:prSet phldrT="[Text]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/>
            <a:t>BR</a:t>
          </a:r>
        </a:p>
      </dgm:t>
    </dgm:pt>
    <dgm:pt modelId="{EC886BB2-C595-409D-8A5E-16025F066D02}" type="parTrans" cxnId="{3CC5F445-FA28-4C9C-A803-FBE67D80024C}">
      <dgm:prSet/>
      <dgm:spPr/>
      <dgm:t>
        <a:bodyPr/>
        <a:lstStyle/>
        <a:p>
          <a:endParaRPr lang="en-US"/>
        </a:p>
      </dgm:t>
    </dgm:pt>
    <dgm:pt modelId="{8E4BB024-761E-4BF6-B546-23E461FB5C17}" type="sibTrans" cxnId="{3CC5F445-FA28-4C9C-A803-FBE67D80024C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en-US"/>
        </a:p>
      </dgm:t>
    </dgm:pt>
    <dgm:pt modelId="{BFC75BB7-233B-4A87-BDE1-B16C6BBBA619}" type="pres">
      <dgm:prSet presAssocID="{27DC4030-49FD-49D2-BFD2-7D443C053B3E}" presName="Name0" presStyleCnt="0">
        <dgm:presLayoutVars>
          <dgm:dir/>
          <dgm:resizeHandles val="exact"/>
        </dgm:presLayoutVars>
      </dgm:prSet>
      <dgm:spPr/>
    </dgm:pt>
    <dgm:pt modelId="{04A818F7-46F7-4796-84E6-10656344CA14}" type="pres">
      <dgm:prSet presAssocID="{35832B9B-24C3-47D4-91EA-50FD6AA1841A}" presName="node" presStyleLbl="node1" presStyleIdx="0" presStyleCnt="3">
        <dgm:presLayoutVars>
          <dgm:bulletEnabled val="1"/>
        </dgm:presLayoutVars>
      </dgm:prSet>
      <dgm:spPr/>
    </dgm:pt>
    <dgm:pt modelId="{832660A1-062D-4288-97E3-280C5A77FA57}" type="pres">
      <dgm:prSet presAssocID="{F182C30C-1871-41DE-8C6F-88A173B01E3A}" presName="sibTrans" presStyleLbl="sibTrans2D1" presStyleIdx="0" presStyleCnt="3"/>
      <dgm:spPr>
        <a:prstGeom prst="rightArrow">
          <a:avLst/>
        </a:prstGeom>
      </dgm:spPr>
    </dgm:pt>
    <dgm:pt modelId="{DA24A72C-AF73-43CB-91C7-80524775E254}" type="pres">
      <dgm:prSet presAssocID="{F182C30C-1871-41DE-8C6F-88A173B01E3A}" presName="connectorText" presStyleLbl="sibTrans2D1" presStyleIdx="0" presStyleCnt="3"/>
      <dgm:spPr/>
    </dgm:pt>
    <dgm:pt modelId="{86013455-8AD6-4494-9072-FD34C12D6D99}" type="pres">
      <dgm:prSet presAssocID="{DB61F6E5-5C2A-4042-8D32-D9F3091E4D6D}" presName="node" presStyleLbl="node1" presStyleIdx="1" presStyleCnt="3">
        <dgm:presLayoutVars>
          <dgm:bulletEnabled val="1"/>
        </dgm:presLayoutVars>
      </dgm:prSet>
      <dgm:spPr/>
    </dgm:pt>
    <dgm:pt modelId="{CB91423E-0543-433E-9A45-F73535E89734}" type="pres">
      <dgm:prSet presAssocID="{9B2FC010-6C1C-4EE5-B203-EB7672EFE044}" presName="sibTrans" presStyleLbl="sibTrans2D1" presStyleIdx="1" presStyleCnt="3"/>
      <dgm:spPr>
        <a:prstGeom prst="rightArrow">
          <a:avLst/>
        </a:prstGeom>
      </dgm:spPr>
    </dgm:pt>
    <dgm:pt modelId="{1E05D306-85D4-4995-B340-771D86ECD25A}" type="pres">
      <dgm:prSet presAssocID="{9B2FC010-6C1C-4EE5-B203-EB7672EFE044}" presName="connectorText" presStyleLbl="sibTrans2D1" presStyleIdx="1" presStyleCnt="3"/>
      <dgm:spPr/>
    </dgm:pt>
    <dgm:pt modelId="{7D1DCA66-1A40-4AC1-B612-0CC621260144}" type="pres">
      <dgm:prSet presAssocID="{CC33B2FC-A7D5-4672-9AD4-C69F7DB8F90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A41635-989D-461F-91E4-662ABF92FB44}" type="pres">
      <dgm:prSet presAssocID="{8E4BB024-761E-4BF6-B546-23E461FB5C17}" presName="sibTrans" presStyleLbl="sibTrans2D1" presStyleIdx="2" presStyleCnt="3"/>
      <dgm:spPr>
        <a:prstGeom prst="rightArrow">
          <a:avLst/>
        </a:prstGeom>
      </dgm:spPr>
    </dgm:pt>
    <dgm:pt modelId="{B15881DD-55A3-41EB-9BAE-154BF5DC0AA3}" type="pres">
      <dgm:prSet presAssocID="{8E4BB024-761E-4BF6-B546-23E461FB5C17}" presName="connectorText" presStyleLbl="sibTrans2D1" presStyleIdx="2" presStyleCnt="3"/>
      <dgm:spPr/>
    </dgm:pt>
  </dgm:ptLst>
  <dgm:cxnLst>
    <dgm:cxn modelId="{95EC9EE9-92C6-4F64-B5DE-93B2AC26FACC}" type="presOf" srcId="{8E4BB024-761E-4BF6-B546-23E461FB5C17}" destId="{B15881DD-55A3-41EB-9BAE-154BF5DC0AA3}" srcOrd="1" destOrd="0" presId="urn:microsoft.com/office/officeart/2005/8/layout/cycle7"/>
    <dgm:cxn modelId="{DB5DB852-4A55-4789-AFC0-E900D36A6015}" srcId="{27DC4030-49FD-49D2-BFD2-7D443C053B3E}" destId="{DB61F6E5-5C2A-4042-8D32-D9F3091E4D6D}" srcOrd="1" destOrd="0" parTransId="{6BDF20C8-68AA-440C-8603-29B6CF51F34C}" sibTransId="{9B2FC010-6C1C-4EE5-B203-EB7672EFE044}"/>
    <dgm:cxn modelId="{0B11218F-64FE-40F6-AC11-3160AAB7A918}" type="presOf" srcId="{35832B9B-24C3-47D4-91EA-50FD6AA1841A}" destId="{04A818F7-46F7-4796-84E6-10656344CA14}" srcOrd="0" destOrd="0" presId="urn:microsoft.com/office/officeart/2005/8/layout/cycle7"/>
    <dgm:cxn modelId="{3CC5F445-FA28-4C9C-A803-FBE67D80024C}" srcId="{27DC4030-49FD-49D2-BFD2-7D443C053B3E}" destId="{CC33B2FC-A7D5-4672-9AD4-C69F7DB8F90B}" srcOrd="2" destOrd="0" parTransId="{EC886BB2-C595-409D-8A5E-16025F066D02}" sibTransId="{8E4BB024-761E-4BF6-B546-23E461FB5C17}"/>
    <dgm:cxn modelId="{94C7AF45-DA3A-4E30-9EB9-6EB57F852820}" type="presOf" srcId="{DB61F6E5-5C2A-4042-8D32-D9F3091E4D6D}" destId="{86013455-8AD6-4494-9072-FD34C12D6D99}" srcOrd="0" destOrd="0" presId="urn:microsoft.com/office/officeart/2005/8/layout/cycle7"/>
    <dgm:cxn modelId="{AD472ABB-F27A-43BC-9E76-12281E48DD8C}" type="presOf" srcId="{F182C30C-1871-41DE-8C6F-88A173B01E3A}" destId="{DA24A72C-AF73-43CB-91C7-80524775E254}" srcOrd="1" destOrd="0" presId="urn:microsoft.com/office/officeart/2005/8/layout/cycle7"/>
    <dgm:cxn modelId="{C7862063-6BDB-497F-800D-CB8AB9B5B7EB}" type="presOf" srcId="{CC33B2FC-A7D5-4672-9AD4-C69F7DB8F90B}" destId="{7D1DCA66-1A40-4AC1-B612-0CC621260144}" srcOrd="0" destOrd="0" presId="urn:microsoft.com/office/officeart/2005/8/layout/cycle7"/>
    <dgm:cxn modelId="{7590B775-D842-4B28-B12F-E97CDDB6222C}" type="presOf" srcId="{9B2FC010-6C1C-4EE5-B203-EB7672EFE044}" destId="{1E05D306-85D4-4995-B340-771D86ECD25A}" srcOrd="1" destOrd="0" presId="urn:microsoft.com/office/officeart/2005/8/layout/cycle7"/>
    <dgm:cxn modelId="{D975D4C3-8AD5-40E6-BDB5-368B70492B9F}" type="presOf" srcId="{8E4BB024-761E-4BF6-B546-23E461FB5C17}" destId="{11A41635-989D-461F-91E4-662ABF92FB44}" srcOrd="0" destOrd="0" presId="urn:microsoft.com/office/officeart/2005/8/layout/cycle7"/>
    <dgm:cxn modelId="{97328411-535C-414B-B620-E62588DFC964}" srcId="{27DC4030-49FD-49D2-BFD2-7D443C053B3E}" destId="{35832B9B-24C3-47D4-91EA-50FD6AA1841A}" srcOrd="0" destOrd="0" parTransId="{688C70A3-F1F1-4D55-BEFD-C9BA7DCF91EC}" sibTransId="{F182C30C-1871-41DE-8C6F-88A173B01E3A}"/>
    <dgm:cxn modelId="{4B835567-1936-4300-AE62-C6A91B2AB304}" type="presOf" srcId="{9B2FC010-6C1C-4EE5-B203-EB7672EFE044}" destId="{CB91423E-0543-433E-9A45-F73535E89734}" srcOrd="0" destOrd="0" presId="urn:microsoft.com/office/officeart/2005/8/layout/cycle7"/>
    <dgm:cxn modelId="{131CEB73-C303-4AF5-87EA-D6D3101EE65E}" type="presOf" srcId="{F182C30C-1871-41DE-8C6F-88A173B01E3A}" destId="{832660A1-062D-4288-97E3-280C5A77FA57}" srcOrd="0" destOrd="0" presId="urn:microsoft.com/office/officeart/2005/8/layout/cycle7"/>
    <dgm:cxn modelId="{39B39665-E41C-4CC3-B615-783A2912F6B0}" type="presOf" srcId="{27DC4030-49FD-49D2-BFD2-7D443C053B3E}" destId="{BFC75BB7-233B-4A87-BDE1-B16C6BBBA619}" srcOrd="0" destOrd="0" presId="urn:microsoft.com/office/officeart/2005/8/layout/cycle7"/>
    <dgm:cxn modelId="{F7D596F6-8DEE-4EE4-A151-B08E46823E38}" type="presParOf" srcId="{BFC75BB7-233B-4A87-BDE1-B16C6BBBA619}" destId="{04A818F7-46F7-4796-84E6-10656344CA14}" srcOrd="0" destOrd="0" presId="urn:microsoft.com/office/officeart/2005/8/layout/cycle7"/>
    <dgm:cxn modelId="{D5ADD4B6-5590-45EC-A278-EBB4CAB7D434}" type="presParOf" srcId="{BFC75BB7-233B-4A87-BDE1-B16C6BBBA619}" destId="{832660A1-062D-4288-97E3-280C5A77FA57}" srcOrd="1" destOrd="0" presId="urn:microsoft.com/office/officeart/2005/8/layout/cycle7"/>
    <dgm:cxn modelId="{C608F2BD-2686-49D9-966E-7A0953050F93}" type="presParOf" srcId="{832660A1-062D-4288-97E3-280C5A77FA57}" destId="{DA24A72C-AF73-43CB-91C7-80524775E254}" srcOrd="0" destOrd="0" presId="urn:microsoft.com/office/officeart/2005/8/layout/cycle7"/>
    <dgm:cxn modelId="{38852566-BB73-4325-9E54-67802ECB8926}" type="presParOf" srcId="{BFC75BB7-233B-4A87-BDE1-B16C6BBBA619}" destId="{86013455-8AD6-4494-9072-FD34C12D6D99}" srcOrd="2" destOrd="0" presId="urn:microsoft.com/office/officeart/2005/8/layout/cycle7"/>
    <dgm:cxn modelId="{B5F4EFFB-62E2-4077-9F96-73E341EEDE93}" type="presParOf" srcId="{BFC75BB7-233B-4A87-BDE1-B16C6BBBA619}" destId="{CB91423E-0543-433E-9A45-F73535E89734}" srcOrd="3" destOrd="0" presId="urn:microsoft.com/office/officeart/2005/8/layout/cycle7"/>
    <dgm:cxn modelId="{B3C039EF-38AE-4420-9CF1-03EC060E93F6}" type="presParOf" srcId="{CB91423E-0543-433E-9A45-F73535E89734}" destId="{1E05D306-85D4-4995-B340-771D86ECD25A}" srcOrd="0" destOrd="0" presId="urn:microsoft.com/office/officeart/2005/8/layout/cycle7"/>
    <dgm:cxn modelId="{FF0DD918-88B7-43E3-91AB-2E77494C88D9}" type="presParOf" srcId="{BFC75BB7-233B-4A87-BDE1-B16C6BBBA619}" destId="{7D1DCA66-1A40-4AC1-B612-0CC621260144}" srcOrd="4" destOrd="0" presId="urn:microsoft.com/office/officeart/2005/8/layout/cycle7"/>
    <dgm:cxn modelId="{3049100B-2DCB-44BB-ABB8-2A8746BB45D1}" type="presParOf" srcId="{BFC75BB7-233B-4A87-BDE1-B16C6BBBA619}" destId="{11A41635-989D-461F-91E4-662ABF92FB44}" srcOrd="5" destOrd="0" presId="urn:microsoft.com/office/officeart/2005/8/layout/cycle7"/>
    <dgm:cxn modelId="{812562C9-01C3-4BA7-98F5-124CBBE231CC}" type="presParOf" srcId="{11A41635-989D-461F-91E4-662ABF92FB44}" destId="{B15881DD-55A3-41EB-9BAE-154BF5DC0AA3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IMP64</dc:creator>
  <cp:keywords/>
  <cp:lastModifiedBy>IMP64</cp:lastModifiedBy>
  <cp:revision>16</cp:revision>
  <cp:lastPrinted>1601-01-01T00:00:00Z</cp:lastPrinted>
  <dcterms:created xsi:type="dcterms:W3CDTF">2010-05-19T03:07:00Z</dcterms:created>
  <dcterms:modified xsi:type="dcterms:W3CDTF">2010-05-19T04:50:00Z</dcterms:modified>
</cp:coreProperties>
</file>