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92" w:rsidRPr="00736B48" w:rsidRDefault="002D0D92" w:rsidP="00736B48">
      <w:pPr>
        <w:spacing w:after="0" w:line="240" w:lineRule="auto"/>
        <w:rPr>
          <w:rFonts w:cstheme="minorHAnsi"/>
        </w:rPr>
      </w:pPr>
      <w:r w:rsidRPr="00736B48">
        <w:rPr>
          <w:rFonts w:cstheme="minorHAnsi"/>
        </w:rPr>
        <w:t xml:space="preserve">Abstract </w:t>
      </w:r>
    </w:p>
    <w:p w:rsidR="002D0D92" w:rsidRPr="00736B48" w:rsidRDefault="002D0D92" w:rsidP="00736B48">
      <w:pPr>
        <w:spacing w:after="0" w:line="240" w:lineRule="auto"/>
        <w:rPr>
          <w:rFonts w:cstheme="minorHAnsi"/>
        </w:rPr>
      </w:pPr>
      <w:r w:rsidRPr="00736B48">
        <w:rPr>
          <w:rFonts w:cstheme="minorHAnsi"/>
        </w:rPr>
        <w:t>Background</w:t>
      </w:r>
    </w:p>
    <w:p w:rsidR="002D0D92" w:rsidRPr="00736B48" w:rsidRDefault="002D0D92" w:rsidP="00736B48">
      <w:pPr>
        <w:spacing w:after="0" w:line="240" w:lineRule="auto"/>
        <w:rPr>
          <w:rFonts w:cstheme="minorHAnsi"/>
        </w:rPr>
      </w:pPr>
      <w:r w:rsidRPr="00736B48">
        <w:rPr>
          <w:rFonts w:cstheme="minorHAnsi"/>
        </w:rPr>
        <w:t>Proof of Concept Design</w:t>
      </w:r>
    </w:p>
    <w:p w:rsidR="00000000" w:rsidRPr="00736B48" w:rsidRDefault="00736B48" w:rsidP="00736B48">
      <w:pPr>
        <w:numPr>
          <w:ilvl w:val="1"/>
          <w:numId w:val="1"/>
        </w:numPr>
        <w:spacing w:after="0" w:line="240" w:lineRule="auto"/>
        <w:rPr>
          <w:rFonts w:cstheme="minorHAnsi"/>
        </w:rPr>
      </w:pPr>
      <w:r w:rsidRPr="00736B48">
        <w:rPr>
          <w:rFonts w:cstheme="minorHAnsi"/>
        </w:rPr>
        <w:t>Steps to finding natural part (what database? why that natural part?)</w:t>
      </w:r>
    </w:p>
    <w:p w:rsidR="00000000" w:rsidRPr="00736B48" w:rsidRDefault="00736B48" w:rsidP="00736B48">
      <w:pPr>
        <w:numPr>
          <w:ilvl w:val="1"/>
          <w:numId w:val="1"/>
        </w:numPr>
        <w:spacing w:after="0" w:line="240" w:lineRule="auto"/>
        <w:rPr>
          <w:rFonts w:cstheme="minorHAnsi"/>
        </w:rPr>
      </w:pPr>
      <w:r w:rsidRPr="00736B48">
        <w:rPr>
          <w:rFonts w:cstheme="minorHAnsi"/>
        </w:rPr>
        <w:t>PCR modification of natural part (primer sequences to make it "BioBrick-able", mutagenesis)</w:t>
      </w:r>
    </w:p>
    <w:p w:rsidR="00000000" w:rsidRPr="00736B48" w:rsidRDefault="00736B48" w:rsidP="00736B48">
      <w:pPr>
        <w:numPr>
          <w:ilvl w:val="1"/>
          <w:numId w:val="1"/>
        </w:numPr>
        <w:spacing w:after="0" w:line="240" w:lineRule="auto"/>
        <w:rPr>
          <w:rFonts w:cstheme="minorHAnsi"/>
        </w:rPr>
      </w:pPr>
      <w:r w:rsidRPr="00736B48">
        <w:rPr>
          <w:rFonts w:cstheme="minorHAnsi"/>
        </w:rPr>
        <w:t>Assembly scheme - draw out plasmids, restriction digests, antibiotics used, etc.</w:t>
      </w:r>
    </w:p>
    <w:p w:rsidR="00BE3A2F" w:rsidRPr="00736B48" w:rsidRDefault="00932582" w:rsidP="00736B48">
      <w:pPr>
        <w:spacing w:after="0" w:line="240" w:lineRule="auto"/>
        <w:ind w:firstLine="720"/>
        <w:rPr>
          <w:rFonts w:cstheme="minorHAnsi"/>
        </w:rPr>
      </w:pPr>
      <w:r w:rsidRPr="00736B48">
        <w:rPr>
          <w:rFonts w:cstheme="minorHAnsi"/>
        </w:rPr>
        <w:t xml:space="preserve">We use a naturally-occurring blue light responsive promoter (BLRP) derived from </w:t>
      </w:r>
      <w:r w:rsidR="003F2663" w:rsidRPr="00736B48">
        <w:rPr>
          <w:rFonts w:cstheme="minorHAnsi"/>
          <w:i/>
        </w:rPr>
        <w:t>Arabid</w:t>
      </w:r>
      <w:r w:rsidRPr="00736B48">
        <w:rPr>
          <w:rFonts w:cstheme="minorHAnsi"/>
          <w:i/>
        </w:rPr>
        <w:t xml:space="preserve">opsis thaliana. </w:t>
      </w:r>
      <w:r w:rsidRPr="00736B48">
        <w:rPr>
          <w:rFonts w:cstheme="minorHAnsi"/>
        </w:rPr>
        <w:t xml:space="preserve">In </w:t>
      </w:r>
      <w:r w:rsidRPr="00736B48">
        <w:rPr>
          <w:rFonts w:cstheme="minorHAnsi"/>
          <w:i/>
        </w:rPr>
        <w:t xml:space="preserve">A. thaliana </w:t>
      </w:r>
      <w:r w:rsidRPr="00736B48">
        <w:rPr>
          <w:rFonts w:cstheme="minorHAnsi"/>
        </w:rPr>
        <w:t>and many other plant systems, the BLRP is used to regulate psb</w:t>
      </w:r>
      <w:r w:rsidRPr="00736B48">
        <w:rPr>
          <w:rFonts w:cstheme="minorHAnsi"/>
          <w:i/>
        </w:rPr>
        <w:t xml:space="preserve">D </w:t>
      </w:r>
      <w:r w:rsidRPr="00736B48">
        <w:rPr>
          <w:rFonts w:cstheme="minorHAnsi"/>
        </w:rPr>
        <w:t xml:space="preserve">expression. </w:t>
      </w:r>
      <w:r w:rsidR="003F2663" w:rsidRPr="00736B48">
        <w:rPr>
          <w:rFonts w:cstheme="minorHAnsi"/>
        </w:rPr>
        <w:t>psb</w:t>
      </w:r>
      <w:r w:rsidR="003F2663" w:rsidRPr="00736B48">
        <w:rPr>
          <w:rFonts w:cstheme="minorHAnsi"/>
          <w:i/>
        </w:rPr>
        <w:t xml:space="preserve">D </w:t>
      </w:r>
      <w:r w:rsidR="003F2663" w:rsidRPr="00736B48">
        <w:rPr>
          <w:rFonts w:cstheme="minorHAnsi"/>
        </w:rPr>
        <w:t xml:space="preserve"> is a coding gene that yields machinery involved in photosystem II. The sequence for PLRB in </w:t>
      </w:r>
      <w:r w:rsidR="003F2663" w:rsidRPr="00736B48">
        <w:rPr>
          <w:rFonts w:cstheme="minorHAnsi"/>
          <w:i/>
        </w:rPr>
        <w:t xml:space="preserve">A. thaliana </w:t>
      </w:r>
      <w:r w:rsidR="003F2663" w:rsidRPr="00736B48">
        <w:rPr>
          <w:rFonts w:cstheme="minorHAnsi"/>
        </w:rPr>
        <w:t xml:space="preserve">and other plant systems was found in literature (Hoffer and Christopher 1997). PLRB from </w:t>
      </w:r>
      <w:r w:rsidR="003F2663" w:rsidRPr="00736B48">
        <w:rPr>
          <w:rFonts w:cstheme="minorHAnsi"/>
          <w:i/>
        </w:rPr>
        <w:t xml:space="preserve">A. thaliana </w:t>
      </w:r>
      <w:r w:rsidR="003F2663" w:rsidRPr="00736B48">
        <w:rPr>
          <w:rFonts w:cstheme="minorHAnsi"/>
        </w:rPr>
        <w:t xml:space="preserve">was chosen specifically because it has been reportedly cloned into </w:t>
      </w:r>
      <w:r w:rsidR="003F2663" w:rsidRPr="00736B48">
        <w:rPr>
          <w:rFonts w:cstheme="minorHAnsi"/>
          <w:i/>
        </w:rPr>
        <w:t>E. coli</w:t>
      </w:r>
      <w:r w:rsidR="003F2663" w:rsidRPr="00736B48">
        <w:rPr>
          <w:rFonts w:cstheme="minorHAnsi"/>
        </w:rPr>
        <w:t xml:space="preserve"> with success. The sequence was queried in NEBCutter to confirm that it </w:t>
      </w:r>
      <w:r w:rsidR="00BE3A2F" w:rsidRPr="00736B48">
        <w:rPr>
          <w:rFonts w:cstheme="minorHAnsi"/>
        </w:rPr>
        <w:t>is</w:t>
      </w:r>
      <w:r w:rsidR="003F2663" w:rsidRPr="00736B48">
        <w:rPr>
          <w:rFonts w:cstheme="minorHAnsi"/>
        </w:rPr>
        <w:t xml:space="preserve"> compatible with the BioBrick assembly standards. Forward and reverse primers were designed that would incorporate the appropriate BioBrick prefix (E-N-X) and suffix (S-N-P).</w:t>
      </w:r>
      <w:r w:rsidR="00BE3A2F" w:rsidRPr="00736B48">
        <w:rPr>
          <w:rFonts w:cstheme="minorHAnsi"/>
        </w:rPr>
        <w:t xml:space="preserve"> Using these primers and a PLRB template, a PLRB BioBrick could be successfully amplified. </w:t>
      </w:r>
    </w:p>
    <w:p w:rsidR="00E755D1" w:rsidRDefault="00E755D1" w:rsidP="00736B48">
      <w:pPr>
        <w:spacing w:after="0" w:line="240" w:lineRule="auto"/>
        <w:rPr>
          <w:rFonts w:cstheme="minorHAnsi"/>
        </w:rPr>
      </w:pPr>
    </w:p>
    <w:p w:rsidR="00736B48" w:rsidRPr="00736B48" w:rsidRDefault="00736B48" w:rsidP="00736B48">
      <w:pPr>
        <w:spacing w:after="0" w:line="240" w:lineRule="auto"/>
        <w:rPr>
          <w:rFonts w:cstheme="minorHAnsi"/>
          <w:i/>
        </w:rPr>
      </w:pPr>
      <w:r>
        <w:rPr>
          <w:rFonts w:cstheme="minorHAnsi"/>
        </w:rPr>
        <w:t>PLRB Sequence (</w:t>
      </w:r>
      <w:r>
        <w:rPr>
          <w:rFonts w:cstheme="minorHAnsi"/>
          <w:i/>
        </w:rPr>
        <w:t>A. thaliana)</w:t>
      </w:r>
    </w:p>
    <w:p w:rsidR="00E755D1" w:rsidRPr="00736B48" w:rsidRDefault="007D6FCB" w:rsidP="00736B48">
      <w:pPr>
        <w:spacing w:after="0" w:line="240" w:lineRule="auto"/>
        <w:rPr>
          <w:rFonts w:cstheme="minorHAnsi"/>
        </w:rPr>
      </w:pPr>
      <w:r w:rsidRPr="00736B48">
        <w:rPr>
          <w:rFonts w:cstheme="minorHAnsi"/>
        </w:rPr>
        <w:t>5’-</w:t>
      </w:r>
      <w:r w:rsidR="00E755D1" w:rsidRPr="00736B48">
        <w:rPr>
          <w:rFonts w:cstheme="minorHAnsi"/>
        </w:rPr>
        <w:t>AGAAAAAGTAAGTGGACCTAACCCATCGAATCATGACTATATCCACTATTCTGATATTCAAATTCGATAGAGAT</w:t>
      </w:r>
      <w:r w:rsidRPr="00736B48">
        <w:rPr>
          <w:rFonts w:cstheme="minorHAnsi"/>
        </w:rPr>
        <w:t>-3’</w:t>
      </w:r>
    </w:p>
    <w:p w:rsidR="00E755D1" w:rsidRPr="00736B48" w:rsidRDefault="00E755D1" w:rsidP="00736B48">
      <w:pPr>
        <w:spacing w:after="0" w:line="240" w:lineRule="auto"/>
        <w:rPr>
          <w:rFonts w:cstheme="minorHAnsi"/>
        </w:rPr>
      </w:pPr>
    </w:p>
    <w:p w:rsidR="00E755D1" w:rsidRPr="00736B48" w:rsidRDefault="00E755D1" w:rsidP="00736B48">
      <w:pPr>
        <w:spacing w:after="0" w:line="240" w:lineRule="auto"/>
        <w:rPr>
          <w:rFonts w:cstheme="minorHAnsi"/>
        </w:rPr>
      </w:pPr>
      <w:r w:rsidRPr="00736B48">
        <w:rPr>
          <w:rFonts w:cstheme="minorHAnsi"/>
        </w:rPr>
        <w:t>Primers</w:t>
      </w:r>
    </w:p>
    <w:p w:rsidR="00E755D1" w:rsidRPr="00736B48" w:rsidRDefault="00736B48" w:rsidP="00736B48">
      <w:pPr>
        <w:spacing w:after="0" w:line="240" w:lineRule="auto"/>
        <w:rPr>
          <w:rFonts w:cstheme="minorHAnsi"/>
        </w:rPr>
      </w:pPr>
      <w:r>
        <w:rPr>
          <w:rFonts w:cstheme="minorHAnsi"/>
        </w:rPr>
        <w:t>P</w:t>
      </w:r>
      <w:r>
        <w:rPr>
          <w:rFonts w:cstheme="minorHAnsi"/>
          <w:vertAlign w:val="subscript"/>
        </w:rPr>
        <w:t>for</w:t>
      </w:r>
      <w:r>
        <w:rPr>
          <w:rFonts w:cstheme="minorHAnsi"/>
        </w:rPr>
        <w:t>:  5’-</w:t>
      </w:r>
      <w:r w:rsidR="00E755D1" w:rsidRPr="00736B48">
        <w:rPr>
          <w:rFonts w:cstheme="minorHAnsi"/>
        </w:rPr>
        <w:t>GTT TCT TCG AAT TCG CGG CCG CTT CTA GAG AGA AAA AGT A</w:t>
      </w:r>
      <w:r>
        <w:rPr>
          <w:rFonts w:cstheme="minorHAnsi"/>
        </w:rPr>
        <w:t>-</w:t>
      </w:r>
      <w:r w:rsidR="00E755D1" w:rsidRPr="00736B48">
        <w:rPr>
          <w:rFonts w:cstheme="minorHAnsi"/>
        </w:rPr>
        <w:t xml:space="preserve"> 3’</w:t>
      </w:r>
    </w:p>
    <w:p w:rsidR="00E755D1" w:rsidRPr="00736B48" w:rsidRDefault="00E755D1" w:rsidP="00736B48">
      <w:pPr>
        <w:spacing w:after="0" w:line="240" w:lineRule="auto"/>
        <w:ind w:firstLine="720"/>
        <w:rPr>
          <w:rFonts w:cstheme="minorHAnsi"/>
        </w:rPr>
      </w:pPr>
    </w:p>
    <w:p w:rsidR="00E755D1" w:rsidRPr="00736B48" w:rsidRDefault="00736B48" w:rsidP="00736B48">
      <w:pPr>
        <w:spacing w:after="0" w:line="240" w:lineRule="auto"/>
        <w:rPr>
          <w:rFonts w:cstheme="minorHAnsi"/>
        </w:rPr>
      </w:pPr>
      <w:r>
        <w:rPr>
          <w:rFonts w:cstheme="minorHAnsi"/>
        </w:rPr>
        <w:t>P</w:t>
      </w:r>
      <w:r>
        <w:rPr>
          <w:rFonts w:cstheme="minorHAnsi"/>
          <w:vertAlign w:val="subscript"/>
        </w:rPr>
        <w:t>rev</w:t>
      </w:r>
      <w:r>
        <w:rPr>
          <w:rFonts w:cstheme="minorHAnsi"/>
        </w:rPr>
        <w:t xml:space="preserve">: </w:t>
      </w:r>
      <w:r w:rsidR="00E755D1" w:rsidRPr="00736B48">
        <w:rPr>
          <w:rFonts w:cstheme="minorHAnsi"/>
        </w:rPr>
        <w:t>5’</w:t>
      </w:r>
      <w:r>
        <w:rPr>
          <w:rFonts w:cstheme="minorHAnsi"/>
        </w:rPr>
        <w:t>-</w:t>
      </w:r>
      <w:r w:rsidR="00E755D1" w:rsidRPr="00736B48">
        <w:rPr>
          <w:rFonts w:cstheme="minorHAnsi"/>
        </w:rPr>
        <w:t>GTT TCT TCC TGC AGC GGC CGC TAC TAG TAA TCT CTA TCG 3’</w:t>
      </w:r>
    </w:p>
    <w:p w:rsidR="00736B48" w:rsidRDefault="00736B48" w:rsidP="00736B48">
      <w:pPr>
        <w:spacing w:after="0" w:line="240" w:lineRule="auto"/>
        <w:rPr>
          <w:rFonts w:cstheme="minorHAnsi"/>
        </w:rPr>
      </w:pPr>
    </w:p>
    <w:p w:rsidR="00736B48" w:rsidRDefault="00736B48" w:rsidP="00736B48">
      <w:pPr>
        <w:spacing w:after="0" w:line="240" w:lineRule="auto"/>
        <w:rPr>
          <w:rFonts w:cstheme="minorHAnsi"/>
        </w:rPr>
      </w:pPr>
      <w:r>
        <w:rPr>
          <w:rFonts w:cstheme="minorHAnsi"/>
        </w:rPr>
        <w:t>BioBrick Sequence</w:t>
      </w:r>
    </w:p>
    <w:p w:rsidR="00E755D1" w:rsidRPr="00736B48" w:rsidRDefault="00736B48" w:rsidP="00736B48">
      <w:pPr>
        <w:spacing w:after="0" w:line="240" w:lineRule="auto"/>
        <w:rPr>
          <w:rFonts w:cstheme="minorHAnsi"/>
        </w:rPr>
      </w:pPr>
      <w:r>
        <w:rPr>
          <w:rFonts w:cstheme="minorHAnsi"/>
        </w:rPr>
        <w:t>5’-</w:t>
      </w:r>
      <w:r w:rsidR="00E755D1" w:rsidRPr="00736B48">
        <w:rPr>
          <w:rFonts w:cstheme="minorHAnsi"/>
        </w:rPr>
        <w:t>GTTTCTTCGAATTCGCGGCCGCTTCTAGAGAGAAAAAGTAAGTGGACCTAACCCATCGAATCATGACTATAT</w:t>
      </w:r>
      <w:r>
        <w:rPr>
          <w:rFonts w:cstheme="minorHAnsi"/>
        </w:rPr>
        <w:t xml:space="preserve"> </w:t>
      </w:r>
      <w:r w:rsidR="00E755D1" w:rsidRPr="00736B48">
        <w:rPr>
          <w:rFonts w:cstheme="minorHAnsi"/>
        </w:rPr>
        <w:t>CCACTATTCTGATATTCAAATTCGATAGAGATTACTAGTAGCGGCCGCTGCAGGAAGAAAC</w:t>
      </w:r>
      <w:r>
        <w:rPr>
          <w:rFonts w:cstheme="minorHAnsi"/>
        </w:rPr>
        <w:t>-3’</w:t>
      </w:r>
      <w:bookmarkStart w:id="0" w:name="_GoBack"/>
      <w:bookmarkEnd w:id="0"/>
    </w:p>
    <w:p w:rsidR="00E755D1" w:rsidRPr="00736B48" w:rsidRDefault="00E755D1" w:rsidP="00736B48">
      <w:pPr>
        <w:spacing w:after="0" w:line="240" w:lineRule="auto"/>
        <w:ind w:firstLine="720"/>
        <w:rPr>
          <w:rFonts w:cstheme="minorHAnsi"/>
        </w:rPr>
      </w:pPr>
    </w:p>
    <w:p w:rsidR="00932582" w:rsidRPr="00736B48" w:rsidRDefault="00BE3A2F" w:rsidP="00736B48">
      <w:pPr>
        <w:spacing w:after="0" w:line="240" w:lineRule="auto"/>
        <w:rPr>
          <w:rFonts w:cstheme="minorHAnsi"/>
        </w:rPr>
      </w:pPr>
      <w:r w:rsidRPr="00736B48">
        <w:rPr>
          <w:rFonts w:cstheme="minorHAnsi"/>
          <w:noProof/>
        </w:rPr>
        <w:drawing>
          <wp:inline distT="0" distB="0" distL="0" distR="0" wp14:anchorId="1F76356C" wp14:editId="14EC31CD">
            <wp:extent cx="5943600" cy="33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the things.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32105"/>
                    </a:xfrm>
                    <a:prstGeom prst="rect">
                      <a:avLst/>
                    </a:prstGeom>
                  </pic:spPr>
                </pic:pic>
              </a:graphicData>
            </a:graphic>
          </wp:inline>
        </w:drawing>
      </w:r>
    </w:p>
    <w:p w:rsidR="00BE3A2F" w:rsidRPr="00736B48" w:rsidRDefault="00BE3A2F" w:rsidP="00736B48">
      <w:pPr>
        <w:spacing w:after="0" w:line="240" w:lineRule="auto"/>
        <w:rPr>
          <w:rFonts w:cstheme="minorHAnsi"/>
        </w:rPr>
      </w:pPr>
    </w:p>
    <w:p w:rsidR="0037170A" w:rsidRPr="00736B48" w:rsidRDefault="00BE3A2F" w:rsidP="00736B48">
      <w:pPr>
        <w:spacing w:after="0" w:line="240" w:lineRule="auto"/>
        <w:rPr>
          <w:rFonts w:cstheme="minorHAnsi"/>
        </w:rPr>
      </w:pPr>
      <w:r w:rsidRPr="00736B48">
        <w:rPr>
          <w:rFonts w:cstheme="minorHAnsi"/>
        </w:rPr>
        <w:tab/>
        <w:t xml:space="preserve">Our construct is a light-responsive genetic toggle switch. The construct’s design was inspired by the toggle switch introduced during Unit 1. Our version improves upon that design by </w:t>
      </w:r>
      <w:r w:rsidR="00C720DC" w:rsidRPr="00736B48">
        <w:rPr>
          <w:rFonts w:cstheme="minorHAnsi"/>
        </w:rPr>
        <w:t>exchanged light for ligand molecules</w:t>
      </w:r>
      <w:r w:rsidRPr="00736B48">
        <w:rPr>
          <w:rFonts w:cstheme="minorHAnsi"/>
        </w:rPr>
        <w:t xml:space="preserve"> as a triggering mechanism for the switch between “ON” and “OFF” states. Light is advantageous over substrate-coupling mechanisms in applied systems because of enhanced control </w:t>
      </w:r>
      <w:r w:rsidR="00C720DC" w:rsidRPr="00736B48">
        <w:rPr>
          <w:rFonts w:cstheme="minorHAnsi"/>
        </w:rPr>
        <w:t xml:space="preserve">and efficiency in signal exposure. </w:t>
      </w:r>
    </w:p>
    <w:p w:rsidR="0037170A" w:rsidRPr="00736B48" w:rsidRDefault="00C720DC" w:rsidP="00736B48">
      <w:pPr>
        <w:spacing w:after="0" w:line="240" w:lineRule="auto"/>
        <w:ind w:firstLine="720"/>
        <w:rPr>
          <w:rFonts w:cstheme="minorHAnsi"/>
        </w:rPr>
      </w:pPr>
      <w:r w:rsidRPr="00736B48">
        <w:rPr>
          <w:rFonts w:cstheme="minorHAnsi"/>
        </w:rPr>
        <w:t xml:space="preserve">Our construct consists of three key open reading frames (ORF 1, 2, 3). ORF 1 is regulated by a strong constitutive promoter, coding regions for two light responsive proteins and the Lac I repressor, and a terminator sequence. ORF 2 contains a Lac promoter, a Tet operator, </w:t>
      </w:r>
      <w:r w:rsidR="00EE238A" w:rsidRPr="00736B48">
        <w:rPr>
          <w:rFonts w:cstheme="minorHAnsi"/>
        </w:rPr>
        <w:t xml:space="preserve">a reporter gene, BLRP, a Tet operator, and a coding region for Lac permease followed by a terminator site. ORF 3 contains a PcpcG2 promoter and a coding region for tetracycline repressor followed by a terminator. In the initial state, LacI inhibits the lac promoter and the reporter gene is silent. Exposure to blue light induces Lac permease production mediated by BLRP activation. </w:t>
      </w:r>
      <w:r w:rsidR="00EE238A" w:rsidRPr="00736B48">
        <w:rPr>
          <w:rFonts w:cstheme="minorHAnsi"/>
          <w:i/>
        </w:rPr>
        <w:t xml:space="preserve">E. coli </w:t>
      </w:r>
      <w:r w:rsidR="00EE238A" w:rsidRPr="00736B48">
        <w:rPr>
          <w:rFonts w:cstheme="minorHAnsi"/>
        </w:rPr>
        <w:t xml:space="preserve">tranformants cultured in lactose will initiate lactose uptake, increasing intracellular lactose concentration. Intracellular lactose inactivates LacI, which de-represses the lac promoter and initiates reporter gene expression. At this time point, the blue light signal is terminated. Because there is not terminator site separating the reporter gene and the BLRP, </w:t>
      </w:r>
      <w:r w:rsidR="00EE238A" w:rsidRPr="00736B48">
        <w:rPr>
          <w:rFonts w:cstheme="minorHAnsi"/>
        </w:rPr>
        <w:lastRenderedPageBreak/>
        <w:t xml:space="preserve">LacY is continually expressed (thereby propagating the “ON” state despite lac permease half-life). </w:t>
      </w:r>
      <w:r w:rsidR="0037170A" w:rsidRPr="00736B48">
        <w:rPr>
          <w:rFonts w:cstheme="minorHAnsi"/>
        </w:rPr>
        <w:t>The chassis will remain in the “ON” state as long as sufficient lactose is present in the culture media.</w:t>
      </w:r>
    </w:p>
    <w:p w:rsidR="0037170A" w:rsidRPr="00736B48" w:rsidRDefault="0037170A" w:rsidP="00736B48">
      <w:pPr>
        <w:spacing w:after="0" w:line="240" w:lineRule="auto"/>
        <w:ind w:firstLine="720"/>
        <w:rPr>
          <w:rFonts w:cstheme="minorHAnsi"/>
        </w:rPr>
      </w:pPr>
      <w:r w:rsidRPr="00736B48">
        <w:rPr>
          <w:rFonts w:cstheme="minorHAnsi"/>
        </w:rPr>
        <w:t xml:space="preserve">To toggle the “OFF” state, the culture is </w:t>
      </w:r>
      <w:r w:rsidR="00E755D1" w:rsidRPr="00736B48">
        <w:rPr>
          <w:rFonts w:cstheme="minorHAnsi"/>
        </w:rPr>
        <w:t xml:space="preserve">exposed to green light. The regulator and receptor proteins whose genes are located in ORF 1 respond to green light, initiating a phosphorylation mechanism that activates the PcpcG2 promoter. This in turn induces TetR expression. The tet repressor targets the tet operators in ORF 2, thereby physically blocking RNA polymerases from transcribing the reporter gene and LacY. Lac permease is no longer replenished, and lactose concentration declines at a rate directly proportional to the rate of lac permease degradation. In the absence of intracellular lactose, the lac promoter is repressed and reporter gene expression ceases. </w:t>
      </w:r>
    </w:p>
    <w:p w:rsidR="002D0D92" w:rsidRPr="00736B48" w:rsidRDefault="002D0D92" w:rsidP="00736B48">
      <w:pPr>
        <w:spacing w:after="0" w:line="240" w:lineRule="auto"/>
        <w:rPr>
          <w:rFonts w:cstheme="minorHAnsi"/>
        </w:rPr>
      </w:pPr>
      <w:r w:rsidRPr="00736B48">
        <w:rPr>
          <w:rFonts w:cstheme="minorHAnsi"/>
        </w:rPr>
        <w:t xml:space="preserve">Testing </w:t>
      </w:r>
    </w:p>
    <w:p w:rsidR="002D0D92" w:rsidRPr="00736B48" w:rsidRDefault="002D0D92" w:rsidP="00736B48">
      <w:pPr>
        <w:spacing w:after="0" w:line="240" w:lineRule="auto"/>
        <w:rPr>
          <w:rFonts w:cstheme="minorHAnsi"/>
        </w:rPr>
      </w:pPr>
      <w:r w:rsidRPr="00736B48">
        <w:rPr>
          <w:rFonts w:cstheme="minorHAnsi"/>
        </w:rPr>
        <w:t>Human Practices</w:t>
      </w:r>
    </w:p>
    <w:sectPr w:rsidR="002D0D92" w:rsidRPr="0073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E798E"/>
    <w:multiLevelType w:val="hybridMultilevel"/>
    <w:tmpl w:val="1DD279FA"/>
    <w:lvl w:ilvl="0" w:tplc="8814D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846B55"/>
    <w:multiLevelType w:val="hybridMultilevel"/>
    <w:tmpl w:val="B3FC5850"/>
    <w:lvl w:ilvl="0" w:tplc="6CEACF12">
      <w:start w:val="1"/>
      <w:numFmt w:val="bullet"/>
      <w:lvlText w:val="o"/>
      <w:lvlJc w:val="left"/>
      <w:pPr>
        <w:tabs>
          <w:tab w:val="num" w:pos="720"/>
        </w:tabs>
        <w:ind w:left="720" w:hanging="360"/>
      </w:pPr>
      <w:rPr>
        <w:rFonts w:ascii="Courier New" w:hAnsi="Courier New" w:hint="default"/>
      </w:rPr>
    </w:lvl>
    <w:lvl w:ilvl="1" w:tplc="A5EA69F6">
      <w:start w:val="1"/>
      <w:numFmt w:val="bullet"/>
      <w:lvlText w:val="o"/>
      <w:lvlJc w:val="left"/>
      <w:pPr>
        <w:tabs>
          <w:tab w:val="num" w:pos="1440"/>
        </w:tabs>
        <w:ind w:left="1440" w:hanging="360"/>
      </w:pPr>
      <w:rPr>
        <w:rFonts w:ascii="Courier New" w:hAnsi="Courier New" w:hint="default"/>
      </w:rPr>
    </w:lvl>
    <w:lvl w:ilvl="2" w:tplc="701C4152" w:tentative="1">
      <w:start w:val="1"/>
      <w:numFmt w:val="bullet"/>
      <w:lvlText w:val="o"/>
      <w:lvlJc w:val="left"/>
      <w:pPr>
        <w:tabs>
          <w:tab w:val="num" w:pos="2160"/>
        </w:tabs>
        <w:ind w:left="2160" w:hanging="360"/>
      </w:pPr>
      <w:rPr>
        <w:rFonts w:ascii="Courier New" w:hAnsi="Courier New" w:hint="default"/>
      </w:rPr>
    </w:lvl>
    <w:lvl w:ilvl="3" w:tplc="453A378A" w:tentative="1">
      <w:start w:val="1"/>
      <w:numFmt w:val="bullet"/>
      <w:lvlText w:val="o"/>
      <w:lvlJc w:val="left"/>
      <w:pPr>
        <w:tabs>
          <w:tab w:val="num" w:pos="2880"/>
        </w:tabs>
        <w:ind w:left="2880" w:hanging="360"/>
      </w:pPr>
      <w:rPr>
        <w:rFonts w:ascii="Courier New" w:hAnsi="Courier New" w:hint="default"/>
      </w:rPr>
    </w:lvl>
    <w:lvl w:ilvl="4" w:tplc="2BD6143C" w:tentative="1">
      <w:start w:val="1"/>
      <w:numFmt w:val="bullet"/>
      <w:lvlText w:val="o"/>
      <w:lvlJc w:val="left"/>
      <w:pPr>
        <w:tabs>
          <w:tab w:val="num" w:pos="3600"/>
        </w:tabs>
        <w:ind w:left="3600" w:hanging="360"/>
      </w:pPr>
      <w:rPr>
        <w:rFonts w:ascii="Courier New" w:hAnsi="Courier New" w:hint="default"/>
      </w:rPr>
    </w:lvl>
    <w:lvl w:ilvl="5" w:tplc="7E3C682C" w:tentative="1">
      <w:start w:val="1"/>
      <w:numFmt w:val="bullet"/>
      <w:lvlText w:val="o"/>
      <w:lvlJc w:val="left"/>
      <w:pPr>
        <w:tabs>
          <w:tab w:val="num" w:pos="4320"/>
        </w:tabs>
        <w:ind w:left="4320" w:hanging="360"/>
      </w:pPr>
      <w:rPr>
        <w:rFonts w:ascii="Courier New" w:hAnsi="Courier New" w:hint="default"/>
      </w:rPr>
    </w:lvl>
    <w:lvl w:ilvl="6" w:tplc="E0E087DE" w:tentative="1">
      <w:start w:val="1"/>
      <w:numFmt w:val="bullet"/>
      <w:lvlText w:val="o"/>
      <w:lvlJc w:val="left"/>
      <w:pPr>
        <w:tabs>
          <w:tab w:val="num" w:pos="5040"/>
        </w:tabs>
        <w:ind w:left="5040" w:hanging="360"/>
      </w:pPr>
      <w:rPr>
        <w:rFonts w:ascii="Courier New" w:hAnsi="Courier New" w:hint="default"/>
      </w:rPr>
    </w:lvl>
    <w:lvl w:ilvl="7" w:tplc="C8340BCE" w:tentative="1">
      <w:start w:val="1"/>
      <w:numFmt w:val="bullet"/>
      <w:lvlText w:val="o"/>
      <w:lvlJc w:val="left"/>
      <w:pPr>
        <w:tabs>
          <w:tab w:val="num" w:pos="5760"/>
        </w:tabs>
        <w:ind w:left="5760" w:hanging="360"/>
      </w:pPr>
      <w:rPr>
        <w:rFonts w:ascii="Courier New" w:hAnsi="Courier New" w:hint="default"/>
      </w:rPr>
    </w:lvl>
    <w:lvl w:ilvl="8" w:tplc="199A9668"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92"/>
    <w:rsid w:val="002D0D92"/>
    <w:rsid w:val="0037170A"/>
    <w:rsid w:val="003F2663"/>
    <w:rsid w:val="00736B48"/>
    <w:rsid w:val="007D6FCB"/>
    <w:rsid w:val="00932582"/>
    <w:rsid w:val="00BE3A2F"/>
    <w:rsid w:val="00C720DC"/>
    <w:rsid w:val="00E755D1"/>
    <w:rsid w:val="00EE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A2F"/>
    <w:rPr>
      <w:rFonts w:ascii="Tahoma" w:hAnsi="Tahoma" w:cs="Tahoma"/>
      <w:sz w:val="16"/>
      <w:szCs w:val="16"/>
    </w:rPr>
  </w:style>
  <w:style w:type="paragraph" w:styleId="ListParagraph">
    <w:name w:val="List Paragraph"/>
    <w:basedOn w:val="Normal"/>
    <w:uiPriority w:val="34"/>
    <w:qFormat/>
    <w:rsid w:val="00736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A2F"/>
    <w:rPr>
      <w:rFonts w:ascii="Tahoma" w:hAnsi="Tahoma" w:cs="Tahoma"/>
      <w:sz w:val="16"/>
      <w:szCs w:val="16"/>
    </w:rPr>
  </w:style>
  <w:style w:type="paragraph" w:styleId="ListParagraph">
    <w:name w:val="List Paragraph"/>
    <w:basedOn w:val="Normal"/>
    <w:uiPriority w:val="34"/>
    <w:qFormat/>
    <w:rsid w:val="00736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02968">
      <w:bodyDiv w:val="1"/>
      <w:marLeft w:val="0"/>
      <w:marRight w:val="0"/>
      <w:marTop w:val="0"/>
      <w:marBottom w:val="0"/>
      <w:divBdr>
        <w:top w:val="none" w:sz="0" w:space="0" w:color="auto"/>
        <w:left w:val="none" w:sz="0" w:space="0" w:color="auto"/>
        <w:bottom w:val="none" w:sz="0" w:space="0" w:color="auto"/>
        <w:right w:val="none" w:sz="0" w:space="0" w:color="auto"/>
      </w:divBdr>
      <w:divsChild>
        <w:div w:id="1472598785">
          <w:marLeft w:val="1440"/>
          <w:marRight w:val="0"/>
          <w:marTop w:val="96"/>
          <w:marBottom w:val="0"/>
          <w:divBdr>
            <w:top w:val="none" w:sz="0" w:space="0" w:color="auto"/>
            <w:left w:val="none" w:sz="0" w:space="0" w:color="auto"/>
            <w:bottom w:val="none" w:sz="0" w:space="0" w:color="auto"/>
            <w:right w:val="none" w:sz="0" w:space="0" w:color="auto"/>
          </w:divBdr>
        </w:div>
        <w:div w:id="1583488658">
          <w:marLeft w:val="1440"/>
          <w:marRight w:val="0"/>
          <w:marTop w:val="96"/>
          <w:marBottom w:val="0"/>
          <w:divBdr>
            <w:top w:val="none" w:sz="0" w:space="0" w:color="auto"/>
            <w:left w:val="none" w:sz="0" w:space="0" w:color="auto"/>
            <w:bottom w:val="none" w:sz="0" w:space="0" w:color="auto"/>
            <w:right w:val="none" w:sz="0" w:space="0" w:color="auto"/>
          </w:divBdr>
        </w:div>
        <w:div w:id="371149553">
          <w:marLeft w:val="144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Barrett Honors College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Yanez (Student)</dc:creator>
  <cp:lastModifiedBy>Matthew Yanez (Student)</cp:lastModifiedBy>
  <cp:revision>2</cp:revision>
  <dcterms:created xsi:type="dcterms:W3CDTF">2012-03-13T02:38:00Z</dcterms:created>
  <dcterms:modified xsi:type="dcterms:W3CDTF">2012-03-13T04:11:00Z</dcterms:modified>
</cp:coreProperties>
</file>