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8FBAC6" w14:textId="67FD2791" w:rsidR="00061432" w:rsidRPr="00AA52B5" w:rsidRDefault="00553606" w:rsidP="001F2AC3">
      <w:pPr>
        <w:widowControl w:val="0"/>
        <w:autoSpaceDE w:val="0"/>
        <w:autoSpaceDN w:val="0"/>
        <w:adjustRightInd w:val="0"/>
        <w:rPr>
          <w:u w:val="single"/>
        </w:rPr>
      </w:pPr>
      <w:r w:rsidRPr="00AA52B5">
        <w:rPr>
          <w:u w:val="single"/>
        </w:rPr>
        <w:t>M</w:t>
      </w:r>
      <w:r w:rsidR="008A49B4" w:rsidRPr="00AA52B5">
        <w:rPr>
          <w:u w:val="single"/>
        </w:rPr>
        <w:t>odule 1, Lecture 5</w:t>
      </w:r>
      <w:r w:rsidR="00BF2EBE" w:rsidRPr="00AA52B5">
        <w:rPr>
          <w:u w:val="single"/>
        </w:rPr>
        <w:t xml:space="preserve"> </w:t>
      </w:r>
      <w:r w:rsidR="00A749BB" w:rsidRPr="00AA52B5">
        <w:rPr>
          <w:u w:val="single"/>
        </w:rPr>
        <w:t>–</w:t>
      </w:r>
      <w:r w:rsidR="00BF2EBE" w:rsidRPr="00AA52B5">
        <w:rPr>
          <w:u w:val="single"/>
        </w:rPr>
        <w:t xml:space="preserve"> </w:t>
      </w:r>
      <w:proofErr w:type="spellStart"/>
      <w:r w:rsidR="00AF0F64">
        <w:rPr>
          <w:u w:val="single"/>
        </w:rPr>
        <w:t>Microbiome</w:t>
      </w:r>
      <w:proofErr w:type="spellEnd"/>
      <w:r w:rsidR="00AF0F64">
        <w:rPr>
          <w:u w:val="single"/>
        </w:rPr>
        <w:t>, part 3</w:t>
      </w:r>
    </w:p>
    <w:p w14:paraId="68FCE7AA" w14:textId="77777777" w:rsidR="001F2AC3" w:rsidRPr="00AA52B5" w:rsidRDefault="001F2AC3" w:rsidP="001F2AC3">
      <w:pPr>
        <w:widowControl w:val="0"/>
        <w:autoSpaceDE w:val="0"/>
        <w:autoSpaceDN w:val="0"/>
        <w:adjustRightInd w:val="0"/>
      </w:pPr>
    </w:p>
    <w:p w14:paraId="49504544" w14:textId="77777777" w:rsidR="00A749BB" w:rsidRPr="00AA52B5" w:rsidRDefault="00A749BB" w:rsidP="001F2AC3">
      <w:pPr>
        <w:widowControl w:val="0"/>
        <w:autoSpaceDE w:val="0"/>
        <w:autoSpaceDN w:val="0"/>
        <w:adjustRightInd w:val="0"/>
      </w:pPr>
      <w:r w:rsidRPr="00AA52B5">
        <w:t>Goals:</w:t>
      </w:r>
    </w:p>
    <w:p w14:paraId="277E19BF" w14:textId="77777777" w:rsidR="00FE018B" w:rsidRDefault="003A3DD4" w:rsidP="00A749BB">
      <w:pPr>
        <w:widowControl w:val="0"/>
        <w:numPr>
          <w:ilvl w:val="0"/>
          <w:numId w:val="3"/>
        </w:numPr>
        <w:autoSpaceDE w:val="0"/>
        <w:autoSpaceDN w:val="0"/>
        <w:adjustRightInd w:val="0"/>
      </w:pPr>
      <w:r w:rsidRPr="00AA52B5">
        <w:t>Define the major conclusions of the HMP so far -</w:t>
      </w:r>
      <w:r w:rsidR="002F375B" w:rsidRPr="00AA52B5">
        <w:t xml:space="preserve"> microbial community</w:t>
      </w:r>
      <w:r w:rsidRPr="00AA52B5">
        <w:t>, part 3</w:t>
      </w:r>
    </w:p>
    <w:p w14:paraId="5FEC6F66" w14:textId="0C7A8B2D" w:rsidR="00E522FF" w:rsidRPr="00AA52B5" w:rsidRDefault="00E522FF" w:rsidP="00A749BB">
      <w:pPr>
        <w:widowControl w:val="0"/>
        <w:numPr>
          <w:ilvl w:val="0"/>
          <w:numId w:val="3"/>
        </w:numPr>
        <w:autoSpaceDE w:val="0"/>
        <w:autoSpaceDN w:val="0"/>
        <w:adjustRightInd w:val="0"/>
      </w:pPr>
      <w:r>
        <w:t xml:space="preserve">Explain the interactions between the immune system and </w:t>
      </w:r>
      <w:proofErr w:type="spellStart"/>
      <w:r>
        <w:t>microbiota</w:t>
      </w:r>
      <w:proofErr w:type="spellEnd"/>
    </w:p>
    <w:p w14:paraId="2BAE7846" w14:textId="77777777" w:rsidR="00E854D3" w:rsidRPr="00AA52B5" w:rsidRDefault="003A3DD4" w:rsidP="00A749BB">
      <w:pPr>
        <w:widowControl w:val="0"/>
        <w:numPr>
          <w:ilvl w:val="0"/>
          <w:numId w:val="3"/>
        </w:numPr>
        <w:autoSpaceDE w:val="0"/>
        <w:autoSpaceDN w:val="0"/>
        <w:adjustRightInd w:val="0"/>
      </w:pPr>
      <w:r w:rsidRPr="00AA52B5">
        <w:t xml:space="preserve">Explain weighted and </w:t>
      </w:r>
      <w:proofErr w:type="spellStart"/>
      <w:r w:rsidRPr="00AA52B5">
        <w:t>unweighted</w:t>
      </w:r>
      <w:proofErr w:type="spellEnd"/>
      <w:r w:rsidR="00F704CB" w:rsidRPr="00AA52B5">
        <w:t xml:space="preserve"> </w:t>
      </w:r>
      <w:proofErr w:type="spellStart"/>
      <w:r w:rsidR="00F704CB" w:rsidRPr="00AA52B5">
        <w:t>UniFrac</w:t>
      </w:r>
      <w:proofErr w:type="spellEnd"/>
    </w:p>
    <w:p w14:paraId="0991D874" w14:textId="77777777" w:rsidR="003A3DD4" w:rsidRPr="00AA52B5" w:rsidRDefault="003A3DD4" w:rsidP="003A3DD4">
      <w:pPr>
        <w:widowControl w:val="0"/>
        <w:autoSpaceDE w:val="0"/>
        <w:autoSpaceDN w:val="0"/>
        <w:adjustRightInd w:val="0"/>
      </w:pPr>
    </w:p>
    <w:p w14:paraId="3B298753" w14:textId="77777777" w:rsidR="003A3DD4" w:rsidRPr="00AA52B5" w:rsidRDefault="003A3DD4" w:rsidP="003A3DD4">
      <w:pPr>
        <w:widowControl w:val="0"/>
        <w:autoSpaceDE w:val="0"/>
        <w:autoSpaceDN w:val="0"/>
        <w:adjustRightInd w:val="0"/>
      </w:pPr>
      <w:r w:rsidRPr="00AA52B5">
        <w:t>Learning outcomes:</w:t>
      </w:r>
    </w:p>
    <w:p w14:paraId="433942EF" w14:textId="77777777" w:rsidR="003A3DD4" w:rsidRPr="00AA52B5" w:rsidRDefault="003A3DD4" w:rsidP="003A3DD4">
      <w:pPr>
        <w:widowControl w:val="0"/>
        <w:numPr>
          <w:ilvl w:val="0"/>
          <w:numId w:val="22"/>
        </w:numPr>
        <w:autoSpaceDE w:val="0"/>
        <w:autoSpaceDN w:val="0"/>
        <w:adjustRightInd w:val="0"/>
      </w:pPr>
      <w:r w:rsidRPr="00AA52B5">
        <w:t>Be able to describe the basic structure of a host microbial (bacterial) community</w:t>
      </w:r>
    </w:p>
    <w:p w14:paraId="00D01EA8" w14:textId="77777777" w:rsidR="00612505" w:rsidRPr="00AA52B5" w:rsidRDefault="003A3DD4" w:rsidP="00612505">
      <w:pPr>
        <w:widowControl w:val="0"/>
        <w:numPr>
          <w:ilvl w:val="0"/>
          <w:numId w:val="22"/>
        </w:numPr>
        <w:autoSpaceDE w:val="0"/>
        <w:autoSpaceDN w:val="0"/>
        <w:adjustRightInd w:val="0"/>
      </w:pPr>
      <w:r w:rsidRPr="00AA52B5">
        <w:t xml:space="preserve">Develop hypotheses about the differences that may change or manipulate </w:t>
      </w:r>
      <w:r w:rsidR="00612505" w:rsidRPr="00AA52B5">
        <w:t xml:space="preserve">microbial host-associated </w:t>
      </w:r>
      <w:r w:rsidRPr="00AA52B5">
        <w:t>community structure/function</w:t>
      </w:r>
    </w:p>
    <w:p w14:paraId="4B34D3B2" w14:textId="4FFDA79F" w:rsidR="00612505" w:rsidRPr="00AA52B5" w:rsidRDefault="00612505" w:rsidP="00612505">
      <w:pPr>
        <w:widowControl w:val="0"/>
        <w:numPr>
          <w:ilvl w:val="0"/>
          <w:numId w:val="22"/>
        </w:numPr>
        <w:autoSpaceDE w:val="0"/>
        <w:autoSpaceDN w:val="0"/>
        <w:adjustRightInd w:val="0"/>
      </w:pPr>
      <w:r w:rsidRPr="00AA52B5">
        <w:t xml:space="preserve">Be able to </w:t>
      </w:r>
      <w:r w:rsidR="00E522FF">
        <w:t xml:space="preserve">explain how the </w:t>
      </w:r>
      <w:proofErr w:type="spellStart"/>
      <w:r w:rsidR="00E522FF">
        <w:t>microbiota</w:t>
      </w:r>
      <w:proofErr w:type="spellEnd"/>
      <w:r w:rsidR="00E522FF">
        <w:t xml:space="preserve"> influence immune function and how the immune system recognizes microbes at epithelial surfaces</w:t>
      </w:r>
      <w:r w:rsidRPr="00AA52B5">
        <w:t>.</w:t>
      </w:r>
    </w:p>
    <w:p w14:paraId="38E5ABA5" w14:textId="0E06D077" w:rsidR="00C87E13" w:rsidRPr="00AA52B5" w:rsidRDefault="00C87E13" w:rsidP="00C87E13">
      <w:pPr>
        <w:widowControl w:val="0"/>
        <w:numPr>
          <w:ilvl w:val="0"/>
          <w:numId w:val="22"/>
        </w:numPr>
        <w:autoSpaceDE w:val="0"/>
        <w:autoSpaceDN w:val="0"/>
        <w:adjustRightInd w:val="0"/>
      </w:pPr>
      <w:r w:rsidRPr="00AA52B5">
        <w:t xml:space="preserve">Be able to explain why weighted </w:t>
      </w:r>
      <w:proofErr w:type="spellStart"/>
      <w:r w:rsidRPr="00AA52B5">
        <w:t>vs</w:t>
      </w:r>
      <w:proofErr w:type="spellEnd"/>
      <w:r w:rsidRPr="00AA52B5">
        <w:t xml:space="preserve"> </w:t>
      </w:r>
      <w:proofErr w:type="spellStart"/>
      <w:r w:rsidRPr="00AA52B5">
        <w:t>unweighted</w:t>
      </w:r>
      <w:proofErr w:type="spellEnd"/>
      <w:r w:rsidRPr="00AA52B5">
        <w:t xml:space="preserve"> </w:t>
      </w:r>
      <w:proofErr w:type="spellStart"/>
      <w:r w:rsidRPr="00AA52B5">
        <w:t>UniFrac</w:t>
      </w:r>
      <w:proofErr w:type="spellEnd"/>
      <w:r w:rsidRPr="00AA52B5">
        <w:t xml:space="preserve"> matters</w:t>
      </w:r>
    </w:p>
    <w:p w14:paraId="44AA2423" w14:textId="77777777" w:rsidR="004D3B89" w:rsidRPr="00AA52B5" w:rsidRDefault="004D3B89" w:rsidP="00AA3C70">
      <w:pPr>
        <w:widowControl w:val="0"/>
        <w:autoSpaceDE w:val="0"/>
        <w:autoSpaceDN w:val="0"/>
        <w:adjustRightInd w:val="0"/>
        <w:rPr>
          <w:bCs/>
          <w:lang w:bidi="en-US"/>
        </w:rPr>
      </w:pPr>
    </w:p>
    <w:p w14:paraId="4E393B2A" w14:textId="6A37E094" w:rsidR="00E479B9" w:rsidRPr="00AA52B5" w:rsidRDefault="00695904" w:rsidP="00E479B9">
      <w:pPr>
        <w:widowControl w:val="0"/>
        <w:autoSpaceDE w:val="0"/>
        <w:autoSpaceDN w:val="0"/>
        <w:adjustRightInd w:val="0"/>
        <w:rPr>
          <w:bCs/>
          <w:lang w:bidi="en-US"/>
        </w:rPr>
      </w:pPr>
      <w:r w:rsidRPr="00AA52B5">
        <w:rPr>
          <w:b/>
        </w:rPr>
        <w:t>A</w:t>
      </w:r>
      <w:r w:rsidR="001738DE" w:rsidRPr="00AA52B5">
        <w:rPr>
          <w:b/>
        </w:rPr>
        <w:t>. Microbial Community Analysis</w:t>
      </w:r>
      <w:r w:rsidR="00720EDC">
        <w:rPr>
          <w:b/>
        </w:rPr>
        <w:t xml:space="preserve"> – The HMP</w:t>
      </w:r>
    </w:p>
    <w:p w14:paraId="49925581" w14:textId="77777777" w:rsidR="006576B2" w:rsidRPr="00AA52B5" w:rsidRDefault="006576B2" w:rsidP="00303B31"/>
    <w:p w14:paraId="0DE7001F" w14:textId="71FC58F6" w:rsidR="006576B2" w:rsidRPr="00AA52B5" w:rsidRDefault="006576B2" w:rsidP="00303B31">
      <w:r w:rsidRPr="00AA52B5">
        <w:t>HMP (Nature, 2012)</w:t>
      </w:r>
    </w:p>
    <w:p w14:paraId="6C4521E9" w14:textId="75E3C6DB" w:rsidR="00303B31" w:rsidRPr="00AA52B5" w:rsidRDefault="00303B31" w:rsidP="00303B31">
      <w:pPr>
        <w:numPr>
          <w:ilvl w:val="0"/>
          <w:numId w:val="23"/>
        </w:numPr>
      </w:pPr>
      <w:r w:rsidRPr="00AA52B5">
        <w:t xml:space="preserve">A total 242 screened and </w:t>
      </w:r>
      <w:proofErr w:type="spellStart"/>
      <w:r w:rsidRPr="00AA52B5">
        <w:t>phenotyped</w:t>
      </w:r>
      <w:proofErr w:type="spellEnd"/>
      <w:r w:rsidRPr="00AA52B5">
        <w:t xml:space="preserve"> adults </w:t>
      </w:r>
      <w:r w:rsidRPr="00AA52B5">
        <w:rPr>
          <w:lang w:val="cs-CZ"/>
        </w:rPr>
        <w:t xml:space="preserve">(129 </w:t>
      </w:r>
      <w:proofErr w:type="spellStart"/>
      <w:r w:rsidRPr="00AA52B5">
        <w:rPr>
          <w:lang w:val="cs-CZ"/>
        </w:rPr>
        <w:t>males</w:t>
      </w:r>
      <w:proofErr w:type="spellEnd"/>
      <w:r w:rsidRPr="00AA52B5">
        <w:rPr>
          <w:lang w:val="cs-CZ"/>
        </w:rPr>
        <w:t xml:space="preserve">, 113 </w:t>
      </w:r>
      <w:proofErr w:type="spellStart"/>
      <w:r w:rsidRPr="00AA52B5">
        <w:rPr>
          <w:lang w:val="cs-CZ"/>
        </w:rPr>
        <w:t>females</w:t>
      </w:r>
      <w:proofErr w:type="spellEnd"/>
      <w:r w:rsidRPr="00AA52B5">
        <w:rPr>
          <w:lang w:val="cs-CZ"/>
        </w:rPr>
        <w:t>)</w:t>
      </w:r>
    </w:p>
    <w:p w14:paraId="3332DDA8" w14:textId="77777777" w:rsidR="00303B31" w:rsidRPr="00AA52B5" w:rsidRDefault="00303B31" w:rsidP="00303B31">
      <w:pPr>
        <w:numPr>
          <w:ilvl w:val="0"/>
          <w:numId w:val="23"/>
        </w:numPr>
      </w:pPr>
      <w:proofErr w:type="spellStart"/>
      <w:r w:rsidRPr="00AA52B5">
        <w:rPr>
          <w:lang w:val="cs-CZ"/>
        </w:rPr>
        <w:t>Categorized</w:t>
      </w:r>
      <w:proofErr w:type="spellEnd"/>
      <w:r w:rsidRPr="00AA52B5">
        <w:rPr>
          <w:lang w:val="cs-CZ"/>
        </w:rPr>
        <w:t xml:space="preserve"> as ‘</w:t>
      </w:r>
      <w:proofErr w:type="spellStart"/>
      <w:r w:rsidRPr="00AA52B5">
        <w:rPr>
          <w:lang w:val="cs-CZ"/>
        </w:rPr>
        <w:t>healthy</w:t>
      </w:r>
      <w:proofErr w:type="spellEnd"/>
      <w:r w:rsidRPr="00AA52B5">
        <w:rPr>
          <w:lang w:val="cs-CZ"/>
        </w:rPr>
        <w:t xml:space="preserve">’, by </w:t>
      </w:r>
      <w:proofErr w:type="spellStart"/>
      <w:r w:rsidRPr="00AA52B5">
        <w:rPr>
          <w:lang w:val="cs-CZ"/>
        </w:rPr>
        <w:t>consortium-defined</w:t>
      </w:r>
      <w:proofErr w:type="spellEnd"/>
      <w:r w:rsidRPr="00AA52B5">
        <w:rPr>
          <w:lang w:val="cs-CZ"/>
        </w:rPr>
        <w:t xml:space="preserve"> </w:t>
      </w:r>
      <w:proofErr w:type="spellStart"/>
      <w:r w:rsidRPr="00AA52B5">
        <w:rPr>
          <w:lang w:val="cs-CZ"/>
        </w:rPr>
        <w:t>clinical</w:t>
      </w:r>
      <w:proofErr w:type="spellEnd"/>
      <w:r w:rsidRPr="00AA52B5">
        <w:rPr>
          <w:lang w:val="cs-CZ"/>
        </w:rPr>
        <w:t xml:space="preserve"> </w:t>
      </w:r>
      <w:proofErr w:type="spellStart"/>
      <w:r w:rsidRPr="00AA52B5">
        <w:rPr>
          <w:lang w:val="cs-CZ"/>
        </w:rPr>
        <w:t>sampling</w:t>
      </w:r>
      <w:proofErr w:type="spellEnd"/>
      <w:r w:rsidRPr="00AA52B5">
        <w:rPr>
          <w:lang w:val="cs-CZ"/>
        </w:rPr>
        <w:t xml:space="preserve"> </w:t>
      </w:r>
      <w:proofErr w:type="spellStart"/>
      <w:r w:rsidRPr="00AA52B5">
        <w:rPr>
          <w:lang w:val="cs-CZ"/>
        </w:rPr>
        <w:t>criteria</w:t>
      </w:r>
      <w:proofErr w:type="spellEnd"/>
    </w:p>
    <w:p w14:paraId="416E532B" w14:textId="77777777" w:rsidR="00303B31" w:rsidRPr="00AA52B5" w:rsidRDefault="00303B31" w:rsidP="00303B31">
      <w:pPr>
        <w:numPr>
          <w:ilvl w:val="0"/>
          <w:numId w:val="23"/>
        </w:numPr>
      </w:pPr>
      <w:proofErr w:type="spellStart"/>
      <w:r w:rsidRPr="00AA52B5">
        <w:rPr>
          <w:lang w:val="cs-CZ"/>
        </w:rPr>
        <w:t>Women</w:t>
      </w:r>
      <w:proofErr w:type="spellEnd"/>
      <w:r w:rsidRPr="00AA52B5">
        <w:rPr>
          <w:lang w:val="cs-CZ"/>
        </w:rPr>
        <w:t xml:space="preserve"> </w:t>
      </w:r>
      <w:proofErr w:type="spellStart"/>
      <w:r w:rsidRPr="00AA52B5">
        <w:rPr>
          <w:lang w:val="cs-CZ"/>
        </w:rPr>
        <w:t>were</w:t>
      </w:r>
      <w:proofErr w:type="spellEnd"/>
      <w:r w:rsidRPr="00AA52B5">
        <w:rPr>
          <w:lang w:val="cs-CZ"/>
        </w:rPr>
        <w:t xml:space="preserve"> </w:t>
      </w:r>
      <w:proofErr w:type="spellStart"/>
      <w:r w:rsidRPr="00AA52B5">
        <w:rPr>
          <w:lang w:val="cs-CZ"/>
        </w:rPr>
        <w:t>sampled</w:t>
      </w:r>
      <w:proofErr w:type="spellEnd"/>
      <w:r w:rsidRPr="00AA52B5">
        <w:rPr>
          <w:lang w:val="cs-CZ"/>
        </w:rPr>
        <w:t xml:space="preserve"> </w:t>
      </w:r>
      <w:proofErr w:type="spellStart"/>
      <w:r w:rsidRPr="00AA52B5">
        <w:rPr>
          <w:lang w:val="cs-CZ"/>
        </w:rPr>
        <w:t>at</w:t>
      </w:r>
      <w:proofErr w:type="spellEnd"/>
      <w:r w:rsidRPr="00AA52B5">
        <w:rPr>
          <w:lang w:val="cs-CZ"/>
        </w:rPr>
        <w:t xml:space="preserve"> 18 body </w:t>
      </w:r>
      <w:proofErr w:type="spellStart"/>
      <w:r w:rsidRPr="00AA52B5">
        <w:rPr>
          <w:lang w:val="cs-CZ"/>
        </w:rPr>
        <w:t>habitats</w:t>
      </w:r>
      <w:proofErr w:type="spellEnd"/>
      <w:r w:rsidRPr="00AA52B5">
        <w:rPr>
          <w:lang w:val="cs-CZ"/>
        </w:rPr>
        <w:t xml:space="preserve">, </w:t>
      </w:r>
      <w:proofErr w:type="spellStart"/>
      <w:r w:rsidRPr="00AA52B5">
        <w:rPr>
          <w:lang w:val="cs-CZ"/>
        </w:rPr>
        <w:t>men</w:t>
      </w:r>
      <w:proofErr w:type="spellEnd"/>
      <w:r w:rsidRPr="00AA52B5">
        <w:rPr>
          <w:lang w:val="cs-CZ"/>
        </w:rPr>
        <w:t xml:space="preserve"> </w:t>
      </w:r>
      <w:proofErr w:type="spellStart"/>
      <w:r w:rsidRPr="00AA52B5">
        <w:rPr>
          <w:lang w:val="cs-CZ"/>
        </w:rPr>
        <w:t>at</w:t>
      </w:r>
      <w:proofErr w:type="spellEnd"/>
      <w:r w:rsidRPr="00AA52B5">
        <w:rPr>
          <w:lang w:val="cs-CZ"/>
        </w:rPr>
        <w:t xml:space="preserve"> 15, </w:t>
      </w:r>
      <w:proofErr w:type="spellStart"/>
      <w:r w:rsidRPr="00AA52B5">
        <w:rPr>
          <w:lang w:val="cs-CZ"/>
        </w:rPr>
        <w:t>at</w:t>
      </w:r>
      <w:proofErr w:type="spellEnd"/>
      <w:r w:rsidRPr="00AA52B5">
        <w:rPr>
          <w:lang w:val="cs-CZ"/>
        </w:rPr>
        <w:t xml:space="preserve"> </w:t>
      </w:r>
      <w:proofErr w:type="spellStart"/>
      <w:r w:rsidRPr="00AA52B5">
        <w:rPr>
          <w:lang w:val="cs-CZ"/>
        </w:rPr>
        <w:t>five</w:t>
      </w:r>
      <w:proofErr w:type="spellEnd"/>
      <w:r w:rsidRPr="00AA52B5">
        <w:rPr>
          <w:lang w:val="cs-CZ"/>
        </w:rPr>
        <w:t xml:space="preserve"> major body </w:t>
      </w:r>
      <w:proofErr w:type="spellStart"/>
      <w:r w:rsidRPr="00AA52B5">
        <w:rPr>
          <w:lang w:val="cs-CZ"/>
        </w:rPr>
        <w:t>areas</w:t>
      </w:r>
      <w:proofErr w:type="spellEnd"/>
    </w:p>
    <w:p w14:paraId="407969FE" w14:textId="77777777" w:rsidR="00303B31" w:rsidRPr="00AA52B5" w:rsidRDefault="00303B31" w:rsidP="00303B31">
      <w:pPr>
        <w:numPr>
          <w:ilvl w:val="0"/>
          <w:numId w:val="23"/>
        </w:numPr>
      </w:pPr>
      <w:r w:rsidRPr="00AA52B5">
        <w:rPr>
          <w:lang w:val="cs-CZ"/>
        </w:rPr>
        <w:t xml:space="preserve">Major body </w:t>
      </w:r>
      <w:proofErr w:type="spellStart"/>
      <w:r w:rsidRPr="00AA52B5">
        <w:rPr>
          <w:lang w:val="cs-CZ"/>
        </w:rPr>
        <w:t>areas</w:t>
      </w:r>
      <w:proofErr w:type="spellEnd"/>
      <w:r w:rsidRPr="00AA52B5">
        <w:rPr>
          <w:lang w:val="cs-CZ"/>
        </w:rPr>
        <w:t xml:space="preserve"> : oral </w:t>
      </w:r>
      <w:proofErr w:type="spellStart"/>
      <w:r w:rsidRPr="00AA52B5">
        <w:rPr>
          <w:lang w:val="cs-CZ"/>
        </w:rPr>
        <w:t>cavity</w:t>
      </w:r>
      <w:proofErr w:type="spellEnd"/>
      <w:r w:rsidRPr="00AA52B5">
        <w:rPr>
          <w:lang w:val="cs-CZ"/>
        </w:rPr>
        <w:t xml:space="preserve">, </w:t>
      </w:r>
      <w:proofErr w:type="spellStart"/>
      <w:r w:rsidRPr="00AA52B5">
        <w:rPr>
          <w:lang w:val="cs-CZ"/>
        </w:rPr>
        <w:t>oropharynx</w:t>
      </w:r>
      <w:proofErr w:type="spellEnd"/>
      <w:r w:rsidRPr="00AA52B5">
        <w:rPr>
          <w:lang w:val="cs-CZ"/>
        </w:rPr>
        <w:t xml:space="preserve">, skin, </w:t>
      </w:r>
      <w:proofErr w:type="spellStart"/>
      <w:r w:rsidRPr="00AA52B5">
        <w:rPr>
          <w:lang w:val="cs-CZ"/>
        </w:rPr>
        <w:t>stool</w:t>
      </w:r>
      <w:proofErr w:type="spellEnd"/>
      <w:r w:rsidRPr="00AA52B5">
        <w:rPr>
          <w:lang w:val="cs-CZ"/>
        </w:rPr>
        <w:t>, vagina</w:t>
      </w:r>
    </w:p>
    <w:p w14:paraId="3461AB1F" w14:textId="607A9E6B" w:rsidR="00121F3C" w:rsidRPr="00AA52B5" w:rsidRDefault="00121F3C" w:rsidP="00121F3C">
      <w:pPr>
        <w:pStyle w:val="ListParagraph"/>
        <w:widowControl w:val="0"/>
        <w:numPr>
          <w:ilvl w:val="0"/>
          <w:numId w:val="23"/>
        </w:numPr>
        <w:autoSpaceDE w:val="0"/>
        <w:autoSpaceDN w:val="0"/>
        <w:adjustRightInd w:val="0"/>
        <w:rPr>
          <w:bCs/>
          <w:lang w:bidi="en-US"/>
        </w:rPr>
      </w:pPr>
      <w:r w:rsidRPr="00AA52B5">
        <w:rPr>
          <w:bCs/>
          <w:lang w:bidi="en-US"/>
        </w:rPr>
        <w:t xml:space="preserve">10 Gb per sample = millions of reads/sample </w:t>
      </w:r>
      <w:r w:rsidRPr="00AA52B5">
        <w:rPr>
          <w:lang w:bidi="en-US"/>
        </w:rPr>
        <w:sym w:font="Wingdings" w:char="F0E0"/>
      </w:r>
      <w:r w:rsidRPr="00AA52B5">
        <w:rPr>
          <w:bCs/>
          <w:lang w:bidi="en-US"/>
        </w:rPr>
        <w:t xml:space="preserve"> E. coli at less than 1% is completely represented and other </w:t>
      </w:r>
      <w:proofErr w:type="gramStart"/>
      <w:r w:rsidRPr="00AA52B5">
        <w:rPr>
          <w:bCs/>
          <w:lang w:bidi="en-US"/>
        </w:rPr>
        <w:t>rarer</w:t>
      </w:r>
      <w:proofErr w:type="gramEnd"/>
      <w:r w:rsidRPr="00AA52B5">
        <w:rPr>
          <w:bCs/>
          <w:lang w:bidi="en-US"/>
        </w:rPr>
        <w:t xml:space="preserve"> are partially represented.</w:t>
      </w:r>
    </w:p>
    <w:p w14:paraId="0AEA0BD3" w14:textId="77777777" w:rsidR="00303B31" w:rsidRPr="00AA52B5" w:rsidRDefault="00303B31" w:rsidP="00303B31"/>
    <w:p w14:paraId="378C929C" w14:textId="77777777" w:rsidR="00F55A18" w:rsidRDefault="00F55A18" w:rsidP="00303B31">
      <w:pPr>
        <w:rPr>
          <w:b/>
        </w:rPr>
      </w:pPr>
      <w:r>
        <w:rPr>
          <w:b/>
        </w:rPr>
        <w:t xml:space="preserve">Remember one of the central questions to understanding the community is how those of individuals are related to each other? </w:t>
      </w:r>
    </w:p>
    <w:p w14:paraId="387AE8CD" w14:textId="77777777" w:rsidR="00AF0F64" w:rsidRDefault="00AF0F64" w:rsidP="00303B31">
      <w:pPr>
        <w:rPr>
          <w:b/>
        </w:rPr>
      </w:pPr>
    </w:p>
    <w:p w14:paraId="4FD44451" w14:textId="00E83709" w:rsidR="00303B31" w:rsidRPr="00AA52B5" w:rsidRDefault="00F55A18" w:rsidP="00303B31">
      <w:pPr>
        <w:rPr>
          <w:b/>
        </w:rPr>
      </w:pPr>
      <w:r>
        <w:rPr>
          <w:b/>
        </w:rPr>
        <w:t>Which</w:t>
      </w:r>
      <w:r w:rsidR="00303B31" w:rsidRPr="00AA52B5">
        <w:rPr>
          <w:b/>
        </w:rPr>
        <w:t xml:space="preserve"> depicts the real </w:t>
      </w:r>
      <w:proofErr w:type="spellStart"/>
      <w:r w:rsidR="00303B31" w:rsidRPr="00AA52B5">
        <w:rPr>
          <w:b/>
        </w:rPr>
        <w:t>microbiome</w:t>
      </w:r>
      <w:proofErr w:type="spellEnd"/>
      <w:r w:rsidR="00303B31" w:rsidRPr="00AA52B5">
        <w:rPr>
          <w:b/>
        </w:rPr>
        <w:t xml:space="preserve"> in humans or other species</w:t>
      </w:r>
      <w:r>
        <w:rPr>
          <w:b/>
        </w:rPr>
        <w:t xml:space="preserve"> like our gulls</w:t>
      </w:r>
      <w:r w:rsidR="00303B31" w:rsidRPr="00AA52B5">
        <w:rPr>
          <w:b/>
        </w:rPr>
        <w:t>?</w:t>
      </w:r>
    </w:p>
    <w:p w14:paraId="6793F995" w14:textId="77777777" w:rsidR="00F55A18" w:rsidRDefault="00F55A18" w:rsidP="00303B31">
      <w:pPr>
        <w:rPr>
          <w:b/>
        </w:rPr>
      </w:pPr>
    </w:p>
    <w:p w14:paraId="1D4DA6C7" w14:textId="6AEC3038" w:rsidR="00303B31" w:rsidRDefault="00F55A18" w:rsidP="00303B31">
      <w:pPr>
        <w:rPr>
          <w:b/>
        </w:rPr>
      </w:pPr>
      <w:r>
        <w:rPr>
          <w:b/>
        </w:rPr>
        <w:t>And how much do the differences</w:t>
      </w:r>
      <w:r w:rsidR="00303B31" w:rsidRPr="00AA52B5">
        <w:rPr>
          <w:b/>
        </w:rPr>
        <w:t xml:space="preserve"> impact their physiology? </w:t>
      </w:r>
      <w:proofErr w:type="gramStart"/>
      <w:r w:rsidR="00303B31" w:rsidRPr="00AA52B5">
        <w:rPr>
          <w:b/>
        </w:rPr>
        <w:t>Susceptibility to disease?</w:t>
      </w:r>
      <w:proofErr w:type="gramEnd"/>
    </w:p>
    <w:p w14:paraId="4703E17B" w14:textId="77777777" w:rsidR="00303B31" w:rsidRPr="00AA52B5" w:rsidRDefault="00303B31" w:rsidP="00303B31">
      <w:pPr>
        <w:rPr>
          <w:b/>
        </w:rPr>
      </w:pPr>
    </w:p>
    <w:p w14:paraId="7AEE0691" w14:textId="2B370B40" w:rsidR="00303B31" w:rsidRPr="00AA52B5" w:rsidRDefault="00303B31" w:rsidP="00303B31"/>
    <w:p w14:paraId="187EF58B" w14:textId="77777777" w:rsidR="00303B31" w:rsidRPr="00AA52B5" w:rsidRDefault="00303B31" w:rsidP="00303B31"/>
    <w:p w14:paraId="599E9B8E" w14:textId="77777777" w:rsidR="00303B31" w:rsidRPr="00AA52B5" w:rsidRDefault="00303B31" w:rsidP="00303B31">
      <w:pPr>
        <w:rPr>
          <w:b/>
          <w:u w:val="single"/>
        </w:rPr>
      </w:pPr>
      <w:r w:rsidRPr="00AA52B5">
        <w:rPr>
          <w:b/>
          <w:u w:val="single"/>
        </w:rPr>
        <w:t>Metabolic pathways might be more important!</w:t>
      </w:r>
    </w:p>
    <w:p w14:paraId="34C26A0F" w14:textId="52CEED4C" w:rsidR="00303B31" w:rsidRDefault="00FB2047" w:rsidP="00AF0F64">
      <w:pPr>
        <w:widowControl w:val="0"/>
        <w:autoSpaceDE w:val="0"/>
        <w:autoSpaceDN w:val="0"/>
        <w:adjustRightInd w:val="0"/>
        <w:rPr>
          <w:noProof/>
        </w:rPr>
      </w:pPr>
      <w:r w:rsidRPr="00AA52B5">
        <w:rPr>
          <w:bCs/>
          <w:lang w:bidi="en-US"/>
        </w:rPr>
        <w:t xml:space="preserve">At functional level, there may be significant </w:t>
      </w:r>
      <w:proofErr w:type="gramStart"/>
      <w:r w:rsidRPr="00AA52B5">
        <w:rPr>
          <w:bCs/>
          <w:lang w:bidi="en-US"/>
        </w:rPr>
        <w:t xml:space="preserve">similarities </w:t>
      </w:r>
      <w:r w:rsidRPr="00AA52B5">
        <w:rPr>
          <w:bCs/>
          <w:lang w:bidi="en-US"/>
        </w:rPr>
        <w:sym w:font="Wingdings" w:char="F0E0"/>
      </w:r>
      <w:r w:rsidRPr="00AA52B5">
        <w:rPr>
          <w:bCs/>
          <w:lang w:bidi="en-US"/>
        </w:rPr>
        <w:t xml:space="preserve"> has</w:t>
      </w:r>
      <w:proofErr w:type="gramEnd"/>
      <w:r w:rsidR="00AF0F64">
        <w:rPr>
          <w:bCs/>
          <w:lang w:bidi="en-US"/>
        </w:rPr>
        <w:t xml:space="preserve"> parallels to </w:t>
      </w:r>
      <w:proofErr w:type="spellStart"/>
      <w:r w:rsidR="00AF0F64">
        <w:rPr>
          <w:bCs/>
          <w:lang w:bidi="en-US"/>
        </w:rPr>
        <w:t>macroecosystems</w:t>
      </w:r>
      <w:proofErr w:type="spellEnd"/>
      <w:r w:rsidR="00AF0F64">
        <w:rPr>
          <w:bCs/>
          <w:lang w:bidi="en-US"/>
        </w:rPr>
        <w:t>.</w:t>
      </w:r>
    </w:p>
    <w:p w14:paraId="6772691A" w14:textId="77777777" w:rsidR="005E0ED4" w:rsidRPr="00AF0F64" w:rsidRDefault="005E0ED4" w:rsidP="00AF0F64">
      <w:pPr>
        <w:widowControl w:val="0"/>
        <w:autoSpaceDE w:val="0"/>
        <w:autoSpaceDN w:val="0"/>
        <w:adjustRightInd w:val="0"/>
        <w:rPr>
          <w:bCs/>
          <w:lang w:bidi="en-US"/>
        </w:rPr>
      </w:pPr>
    </w:p>
    <w:p w14:paraId="216B8244" w14:textId="77777777" w:rsidR="00303B31" w:rsidRPr="00AA52B5" w:rsidRDefault="00303B31" w:rsidP="00303B31">
      <w:pPr>
        <w:numPr>
          <w:ilvl w:val="0"/>
          <w:numId w:val="24"/>
        </w:numPr>
        <w:rPr>
          <w:b/>
        </w:rPr>
      </w:pPr>
      <w:r w:rsidRPr="00AA52B5">
        <w:rPr>
          <w:b/>
        </w:rPr>
        <w:t>Diversity and abundance of each body habitat’s signature microbes varies widely, even among healthy subjects – we are all unique</w:t>
      </w:r>
    </w:p>
    <w:p w14:paraId="347122C0" w14:textId="77777777" w:rsidR="00303B31" w:rsidRPr="00AA52B5" w:rsidRDefault="00303B31" w:rsidP="00303B31">
      <w:pPr>
        <w:numPr>
          <w:ilvl w:val="0"/>
          <w:numId w:val="24"/>
        </w:numPr>
        <w:rPr>
          <w:b/>
        </w:rPr>
      </w:pPr>
      <w:r w:rsidRPr="00AA52B5">
        <w:rPr>
          <w:b/>
        </w:rPr>
        <w:t>Primary clustering is by body area, with oral, gastrointestinal, skin &amp; urogenital habitats separate; but nares bridges oral &amp; skin habitats</w:t>
      </w:r>
    </w:p>
    <w:p w14:paraId="734EF47E" w14:textId="77777777" w:rsidR="00303B31" w:rsidRPr="00AA52B5" w:rsidRDefault="00303B31" w:rsidP="00303B31">
      <w:pPr>
        <w:numPr>
          <w:ilvl w:val="0"/>
          <w:numId w:val="24"/>
        </w:numPr>
        <w:rPr>
          <w:b/>
        </w:rPr>
      </w:pPr>
      <w:r w:rsidRPr="00AA52B5">
        <w:rPr>
          <w:b/>
        </w:rPr>
        <w:t>Carriage of metabolic pathways appeared stable among individuals, despite variation in community structure/ taxon composition</w:t>
      </w:r>
    </w:p>
    <w:p w14:paraId="37067053" w14:textId="77777777" w:rsidR="00303B31" w:rsidRPr="00AA52B5" w:rsidRDefault="00303B31" w:rsidP="00303B31">
      <w:pPr>
        <w:numPr>
          <w:ilvl w:val="0"/>
          <w:numId w:val="24"/>
        </w:numPr>
        <w:rPr>
          <w:b/>
        </w:rPr>
      </w:pPr>
      <w:r w:rsidRPr="00AA52B5">
        <w:rPr>
          <w:b/>
        </w:rPr>
        <w:t>Ethnic/racial background proved to be one of the strongest associations of both pathways and microbes with clinical metadata.</w:t>
      </w:r>
    </w:p>
    <w:p w14:paraId="0D0FDF05" w14:textId="77777777" w:rsidR="00303B31" w:rsidRPr="00AA52B5" w:rsidRDefault="00303B31" w:rsidP="00303B31"/>
    <w:p w14:paraId="63890AA9" w14:textId="4382F2E0" w:rsidR="00E5557E" w:rsidRPr="00AA52B5" w:rsidRDefault="00303B31" w:rsidP="00AF0F64">
      <w:r w:rsidRPr="00AA52B5">
        <w:t>But</w:t>
      </w:r>
      <w:r w:rsidRPr="00AA52B5">
        <w:rPr>
          <w:b/>
          <w:u w:val="single"/>
        </w:rPr>
        <w:t>, culturally, things seem to be quite different.</w:t>
      </w:r>
      <w:r w:rsidRPr="00AA52B5">
        <w:t xml:space="preserve"> Studies of very different cultures parallel the differences seen between carnivorous and herbivorous animals.</w:t>
      </w:r>
    </w:p>
    <w:p w14:paraId="1B6AF1EE" w14:textId="77777777" w:rsidR="00E5557E" w:rsidRPr="00AA52B5" w:rsidRDefault="00E5557E" w:rsidP="00E5557E">
      <w:pPr>
        <w:widowControl w:val="0"/>
        <w:autoSpaceDE w:val="0"/>
        <w:autoSpaceDN w:val="0"/>
        <w:adjustRightInd w:val="0"/>
        <w:rPr>
          <w:bCs/>
          <w:lang w:bidi="en-US"/>
        </w:rPr>
      </w:pPr>
    </w:p>
    <w:p w14:paraId="28CFB0B4" w14:textId="16D7E106" w:rsidR="00965E68" w:rsidRPr="00965E68" w:rsidRDefault="00965E68" w:rsidP="00965E68">
      <w:pPr>
        <w:widowControl w:val="0"/>
        <w:autoSpaceDE w:val="0"/>
        <w:autoSpaceDN w:val="0"/>
        <w:adjustRightInd w:val="0"/>
        <w:rPr>
          <w:b/>
          <w:bCs/>
          <w:i/>
          <w:u w:val="single"/>
          <w:lang w:bidi="en-US"/>
        </w:rPr>
      </w:pPr>
      <w:proofErr w:type="gramStart"/>
      <w:r w:rsidRPr="00965E68">
        <w:rPr>
          <w:b/>
          <w:bCs/>
          <w:i/>
          <w:u w:val="single"/>
          <w:lang w:bidi="en-US"/>
        </w:rPr>
        <w:t>The new question now seems to be</w:t>
      </w:r>
      <w:proofErr w:type="gramEnd"/>
      <w:r w:rsidRPr="00965E68">
        <w:rPr>
          <w:b/>
          <w:bCs/>
          <w:i/>
          <w:u w:val="single"/>
          <w:lang w:bidi="en-US"/>
        </w:rPr>
        <w:t xml:space="preserve">, </w:t>
      </w:r>
      <w:proofErr w:type="gramStart"/>
      <w:r w:rsidRPr="00965E68">
        <w:rPr>
          <w:b/>
          <w:bCs/>
          <w:i/>
          <w:u w:val="single"/>
          <w:lang w:bidi="en-US"/>
        </w:rPr>
        <w:t xml:space="preserve">do </w:t>
      </w:r>
      <w:proofErr w:type="spellStart"/>
      <w:r w:rsidRPr="00965E68">
        <w:rPr>
          <w:b/>
          <w:bCs/>
          <w:i/>
          <w:u w:val="single"/>
          <w:lang w:bidi="en-US"/>
        </w:rPr>
        <w:t>enterotypes</w:t>
      </w:r>
      <w:proofErr w:type="spellEnd"/>
      <w:r w:rsidRPr="00965E68">
        <w:rPr>
          <w:b/>
          <w:bCs/>
          <w:i/>
          <w:u w:val="single"/>
          <w:lang w:bidi="en-US"/>
        </w:rPr>
        <w:t xml:space="preserve"> exist</w:t>
      </w:r>
      <w:proofErr w:type="gramEnd"/>
      <w:r w:rsidRPr="00965E68">
        <w:rPr>
          <w:b/>
          <w:bCs/>
          <w:i/>
          <w:u w:val="single"/>
          <w:lang w:bidi="en-US"/>
        </w:rPr>
        <w:t>?</w:t>
      </w:r>
    </w:p>
    <w:p w14:paraId="42BABA17" w14:textId="77777777" w:rsidR="00965E68" w:rsidRPr="00AA52B5" w:rsidRDefault="00965E68" w:rsidP="00965E68">
      <w:pPr>
        <w:widowControl w:val="0"/>
        <w:autoSpaceDE w:val="0"/>
        <w:autoSpaceDN w:val="0"/>
        <w:adjustRightInd w:val="0"/>
        <w:rPr>
          <w:bCs/>
          <w:lang w:bidi="en-US"/>
        </w:rPr>
      </w:pPr>
      <w:r w:rsidRPr="00AA52B5">
        <w:rPr>
          <w:bCs/>
          <w:lang w:bidi="en-US"/>
        </w:rPr>
        <w:t>Data is unclear – some studies show yes, others no</w:t>
      </w:r>
    </w:p>
    <w:p w14:paraId="5F10EE89" w14:textId="77777777" w:rsidR="00965E68" w:rsidRPr="00AA52B5" w:rsidRDefault="00965E68" w:rsidP="00965E68">
      <w:pPr>
        <w:widowControl w:val="0"/>
        <w:autoSpaceDE w:val="0"/>
        <w:autoSpaceDN w:val="0"/>
        <w:adjustRightInd w:val="0"/>
        <w:rPr>
          <w:bCs/>
          <w:lang w:bidi="en-US"/>
        </w:rPr>
      </w:pPr>
    </w:p>
    <w:p w14:paraId="279BEB04" w14:textId="12F2BD38" w:rsidR="00965E68" w:rsidRPr="00965E68" w:rsidRDefault="00965E68" w:rsidP="00965E68">
      <w:pPr>
        <w:widowControl w:val="0"/>
        <w:autoSpaceDE w:val="0"/>
        <w:autoSpaceDN w:val="0"/>
        <w:adjustRightInd w:val="0"/>
        <w:rPr>
          <w:b/>
          <w:bCs/>
          <w:i/>
          <w:u w:val="single"/>
          <w:lang w:bidi="en-US"/>
        </w:rPr>
      </w:pPr>
      <w:r w:rsidRPr="00965E68">
        <w:rPr>
          <w:b/>
          <w:bCs/>
          <w:i/>
          <w:u w:val="single"/>
          <w:lang w:bidi="en-US"/>
        </w:rPr>
        <w:t>And how much does resilience play in structuring communities?</w:t>
      </w:r>
    </w:p>
    <w:p w14:paraId="2393CBDA" w14:textId="77777777" w:rsidR="00965E68" w:rsidRPr="00AA52B5" w:rsidRDefault="00965E68" w:rsidP="00965E68">
      <w:pPr>
        <w:widowControl w:val="0"/>
        <w:autoSpaceDE w:val="0"/>
        <w:autoSpaceDN w:val="0"/>
        <w:adjustRightInd w:val="0"/>
        <w:rPr>
          <w:bCs/>
          <w:lang w:bidi="en-US"/>
        </w:rPr>
      </w:pPr>
      <w:r w:rsidRPr="00AA52B5">
        <w:rPr>
          <w:bCs/>
          <w:lang w:bidi="en-US"/>
        </w:rPr>
        <w:t xml:space="preserve">Dietary changes produce differences, but small compared to variation between individuals </w:t>
      </w:r>
      <w:r w:rsidRPr="00AA52B5">
        <w:rPr>
          <w:bCs/>
          <w:lang w:bidi="en-US"/>
        </w:rPr>
        <w:sym w:font="Wingdings" w:char="F0E0"/>
      </w:r>
      <w:r w:rsidRPr="00AA52B5">
        <w:rPr>
          <w:bCs/>
          <w:lang w:bidi="en-US"/>
        </w:rPr>
        <w:t xml:space="preserve"> can longer term changes induce state shifts or regime change to a new stable state?</w:t>
      </w:r>
    </w:p>
    <w:p w14:paraId="78002409" w14:textId="77777777" w:rsidR="00965E68" w:rsidRPr="00AA52B5" w:rsidRDefault="00965E68" w:rsidP="00965E68">
      <w:pPr>
        <w:widowControl w:val="0"/>
        <w:autoSpaceDE w:val="0"/>
        <w:autoSpaceDN w:val="0"/>
        <w:adjustRightInd w:val="0"/>
        <w:rPr>
          <w:bCs/>
          <w:lang w:bidi="en-US"/>
        </w:rPr>
      </w:pPr>
      <w:r w:rsidRPr="00AA52B5">
        <w:rPr>
          <w:bCs/>
          <w:lang w:bidi="en-US"/>
        </w:rPr>
        <w:t>Resilience seems to vary a lot between individuals according to antibiotic studies.</w:t>
      </w:r>
    </w:p>
    <w:p w14:paraId="3873762A" w14:textId="77777777" w:rsidR="00965E68" w:rsidRPr="00AA52B5" w:rsidRDefault="00965E68" w:rsidP="00965E68">
      <w:pPr>
        <w:widowControl w:val="0"/>
        <w:autoSpaceDE w:val="0"/>
        <w:autoSpaceDN w:val="0"/>
        <w:adjustRightInd w:val="0"/>
        <w:rPr>
          <w:bCs/>
          <w:lang w:bidi="en-US"/>
        </w:rPr>
      </w:pPr>
    </w:p>
    <w:p w14:paraId="4088FDB4" w14:textId="77777777" w:rsidR="00965E68" w:rsidRPr="00AA52B5" w:rsidRDefault="00965E68" w:rsidP="00965E68">
      <w:pPr>
        <w:widowControl w:val="0"/>
        <w:autoSpaceDE w:val="0"/>
        <w:autoSpaceDN w:val="0"/>
        <w:adjustRightInd w:val="0"/>
        <w:rPr>
          <w:bCs/>
          <w:lang w:bidi="en-US"/>
        </w:rPr>
      </w:pPr>
      <w:r w:rsidRPr="00AA52B5">
        <w:rPr>
          <w:bCs/>
          <w:lang w:bidi="en-US"/>
        </w:rPr>
        <w:t xml:space="preserve">Transplantation studies are suggestive, but studies to understand the factors governing stability and the ability to establish a healthy </w:t>
      </w:r>
      <w:proofErr w:type="spellStart"/>
      <w:r w:rsidRPr="00AA52B5">
        <w:rPr>
          <w:bCs/>
          <w:lang w:bidi="en-US"/>
        </w:rPr>
        <w:t>microbiota</w:t>
      </w:r>
      <w:proofErr w:type="spellEnd"/>
      <w:r w:rsidRPr="00AA52B5">
        <w:rPr>
          <w:bCs/>
          <w:lang w:bidi="en-US"/>
        </w:rPr>
        <w:t xml:space="preserve"> by succession will be key to engineering therapies using microbial ecology.</w:t>
      </w:r>
    </w:p>
    <w:p w14:paraId="246321B6" w14:textId="77777777" w:rsidR="00965E68" w:rsidRPr="00AA52B5" w:rsidRDefault="00965E68" w:rsidP="00965E68">
      <w:pPr>
        <w:widowControl w:val="0"/>
        <w:autoSpaceDE w:val="0"/>
        <w:autoSpaceDN w:val="0"/>
        <w:adjustRightInd w:val="0"/>
        <w:rPr>
          <w:b/>
          <w:bCs/>
          <w:lang w:bidi="en-US"/>
        </w:rPr>
      </w:pPr>
    </w:p>
    <w:p w14:paraId="3A5E0252" w14:textId="77777777" w:rsidR="00E5557E" w:rsidRDefault="00E5557E" w:rsidP="00303B31"/>
    <w:p w14:paraId="6BF970BD" w14:textId="4242C70A" w:rsidR="00E5557E" w:rsidRPr="00AF0F64" w:rsidRDefault="00E5557E" w:rsidP="00303B31">
      <w:pPr>
        <w:rPr>
          <w:b/>
        </w:rPr>
      </w:pPr>
      <w:r w:rsidRPr="00E5557E">
        <w:rPr>
          <w:b/>
        </w:rPr>
        <w:t>B. Immune interactions</w:t>
      </w:r>
      <w:r w:rsidR="00AF0F64">
        <w:rPr>
          <w:b/>
        </w:rPr>
        <w:t xml:space="preserve"> with the </w:t>
      </w:r>
      <w:proofErr w:type="spellStart"/>
      <w:r w:rsidR="00AF0F64">
        <w:rPr>
          <w:b/>
        </w:rPr>
        <w:t>microbiota</w:t>
      </w:r>
      <w:proofErr w:type="spellEnd"/>
    </w:p>
    <w:p w14:paraId="0E4CC0EE" w14:textId="77777777" w:rsidR="00E5557E" w:rsidRPr="00AA52B5" w:rsidRDefault="00E5557E" w:rsidP="00E5557E">
      <w:pPr>
        <w:widowControl w:val="0"/>
        <w:autoSpaceDE w:val="0"/>
        <w:autoSpaceDN w:val="0"/>
        <w:adjustRightInd w:val="0"/>
        <w:rPr>
          <w:bCs/>
          <w:i/>
          <w:lang w:bidi="en-US"/>
        </w:rPr>
      </w:pPr>
      <w:r w:rsidRPr="00AA52B5">
        <w:rPr>
          <w:bCs/>
          <w:i/>
          <w:lang w:bidi="en-US"/>
        </w:rPr>
        <w:t>What does the gut community provide for the host?</w:t>
      </w:r>
    </w:p>
    <w:p w14:paraId="31922CEC" w14:textId="7FEF5F50" w:rsidR="00E5557E" w:rsidRPr="00AA52B5" w:rsidRDefault="002B5826" w:rsidP="00E5557E">
      <w:pPr>
        <w:widowControl w:val="0"/>
        <w:autoSpaceDE w:val="0"/>
        <w:autoSpaceDN w:val="0"/>
        <w:adjustRightInd w:val="0"/>
        <w:rPr>
          <w:b/>
          <w:bCs/>
          <w:lang w:bidi="en-US"/>
        </w:rPr>
      </w:pPr>
      <w:r w:rsidRPr="002B5826">
        <w:rPr>
          <w:b/>
          <w:bCs/>
          <w:lang w:bidi="en-US"/>
        </w:rPr>
        <w:t>We mentioned barrier function, but did not go so far as</w:t>
      </w:r>
      <w:r w:rsidR="00E5557E" w:rsidRPr="002B5826">
        <w:rPr>
          <w:b/>
          <w:bCs/>
          <w:lang w:bidi="en-US"/>
        </w:rPr>
        <w:t xml:space="preserve"> immune</w:t>
      </w:r>
      <w:r w:rsidR="00E5557E" w:rsidRPr="00AA52B5">
        <w:rPr>
          <w:b/>
          <w:bCs/>
          <w:lang w:bidi="en-US"/>
        </w:rPr>
        <w:t xml:space="preserve"> priming</w:t>
      </w:r>
    </w:p>
    <w:p w14:paraId="28301491" w14:textId="77777777" w:rsidR="005F3986" w:rsidRDefault="005F3986" w:rsidP="005F3986"/>
    <w:p w14:paraId="5791CFF9" w14:textId="77777777" w:rsidR="005F3986" w:rsidRDefault="005F3986" w:rsidP="005F3986">
      <w:r>
        <w:t>Intestine reaches 10</w:t>
      </w:r>
      <w:r w:rsidRPr="00F500AD">
        <w:rPr>
          <w:vertAlign w:val="superscript"/>
        </w:rPr>
        <w:t>12</w:t>
      </w:r>
      <w:r>
        <w:t xml:space="preserve"> bacteria per gram of luminal content in distal gut.</w:t>
      </w:r>
    </w:p>
    <w:p w14:paraId="0FE4605F" w14:textId="77777777" w:rsidR="005F3986" w:rsidRDefault="005F3986" w:rsidP="005F3986">
      <w:r>
        <w:t>200m</w:t>
      </w:r>
      <w:r w:rsidRPr="0089309E">
        <w:rPr>
          <w:vertAlign w:val="superscript"/>
        </w:rPr>
        <w:t>2</w:t>
      </w:r>
      <w:r>
        <w:t xml:space="preserve"> in the gut</w:t>
      </w:r>
    </w:p>
    <w:p w14:paraId="1652DB88" w14:textId="77777777" w:rsidR="005F3986" w:rsidRDefault="005F3986" w:rsidP="005F3986"/>
    <w:p w14:paraId="03BCAB14" w14:textId="77777777" w:rsidR="005F3986" w:rsidRPr="00C03B52" w:rsidRDefault="005F3986" w:rsidP="005F3986">
      <w:pPr>
        <w:rPr>
          <w:b/>
        </w:rPr>
      </w:pPr>
      <w:r w:rsidRPr="00C03B52">
        <w:rPr>
          <w:b/>
        </w:rPr>
        <w:t xml:space="preserve">A. Are the </w:t>
      </w:r>
      <w:proofErr w:type="spellStart"/>
      <w:r w:rsidRPr="00C03B52">
        <w:rPr>
          <w:b/>
        </w:rPr>
        <w:t>microbiota</w:t>
      </w:r>
      <w:proofErr w:type="spellEnd"/>
      <w:r w:rsidRPr="00C03B52">
        <w:rPr>
          <w:b/>
        </w:rPr>
        <w:t xml:space="preserve"> involved?</w:t>
      </w:r>
    </w:p>
    <w:p w14:paraId="77FBDA5B" w14:textId="1723CD3E" w:rsidR="005F3986" w:rsidRDefault="005F3986" w:rsidP="005F3986">
      <w:r>
        <w:t>1) In rodent models of GI inflammation, inflammation (immune response) is not present in the absence of microbes in the gut</w:t>
      </w:r>
      <w:r w:rsidR="000C5BDE">
        <w:t xml:space="preserve"> nor does gut immunity develop properly</w:t>
      </w:r>
      <w:r>
        <w:t>.</w:t>
      </w:r>
    </w:p>
    <w:p w14:paraId="13F4C8D3" w14:textId="77777777" w:rsidR="005F3986" w:rsidRDefault="005F3986" w:rsidP="005F3986">
      <w:r>
        <w:t>2) Animal model or human polymorphisms associated with disease frequently involve mucosal immune response</w:t>
      </w:r>
    </w:p>
    <w:p w14:paraId="30C9128E" w14:textId="77777777" w:rsidR="005F3986" w:rsidRDefault="005F3986" w:rsidP="005F3986">
      <w:pPr>
        <w:ind w:left="720"/>
      </w:pPr>
      <w:r>
        <w:t xml:space="preserve">a. </w:t>
      </w:r>
      <w:proofErr w:type="gramStart"/>
      <w:r>
        <w:t>in</w:t>
      </w:r>
      <w:proofErr w:type="gramEnd"/>
      <w:r>
        <w:t xml:space="preserve"> pathways of innate receptors (NLR or TLR), or </w:t>
      </w:r>
    </w:p>
    <w:p w14:paraId="2CD9AB80" w14:textId="77777777" w:rsidR="005F3986" w:rsidRDefault="005F3986" w:rsidP="005F3986">
      <w:pPr>
        <w:ind w:left="720"/>
      </w:pPr>
      <w:r>
        <w:t xml:space="preserve">b. </w:t>
      </w:r>
      <w:proofErr w:type="gramStart"/>
      <w:r>
        <w:t>in</w:t>
      </w:r>
      <w:proofErr w:type="gramEnd"/>
      <w:r>
        <w:t xml:space="preserve"> signaling molecules (</w:t>
      </w:r>
      <w:proofErr w:type="spellStart"/>
      <w:r>
        <w:t>eg</w:t>
      </w:r>
      <w:proofErr w:type="spellEnd"/>
      <w:r>
        <w:t xml:space="preserve"> – IL-23) that remove inhibition or take away a conditioning response (i.e. – constant signaling regulated by blunted responses).</w:t>
      </w:r>
    </w:p>
    <w:p w14:paraId="35952624" w14:textId="77777777" w:rsidR="005F3986" w:rsidRDefault="005F3986" w:rsidP="005F3986">
      <w:r>
        <w:t>3) “</w:t>
      </w:r>
      <w:proofErr w:type="spellStart"/>
      <w:r>
        <w:t>Colitogenic</w:t>
      </w:r>
      <w:proofErr w:type="spellEnd"/>
      <w:r>
        <w:t>” microbes are found in human and animal disease, but there is little evidence that these microbes can cause disease in an otherwise healthy host (in other words, there must be some sort of immune breakdown or insult first).</w:t>
      </w:r>
    </w:p>
    <w:p w14:paraId="35E50859" w14:textId="77777777" w:rsidR="005F3986" w:rsidRDefault="005F3986" w:rsidP="005F3986"/>
    <w:p w14:paraId="2E7E0CEF" w14:textId="77777777" w:rsidR="005F3986" w:rsidRPr="00C03B52" w:rsidRDefault="005F3986" w:rsidP="005F3986">
      <w:pPr>
        <w:rPr>
          <w:b/>
        </w:rPr>
      </w:pPr>
      <w:r w:rsidRPr="00C03B52">
        <w:rPr>
          <w:b/>
        </w:rPr>
        <w:t xml:space="preserve">B. How do the </w:t>
      </w:r>
      <w:proofErr w:type="spellStart"/>
      <w:r w:rsidRPr="00C03B52">
        <w:rPr>
          <w:b/>
        </w:rPr>
        <w:t>microbiota</w:t>
      </w:r>
      <w:proofErr w:type="spellEnd"/>
      <w:r w:rsidRPr="00C03B52">
        <w:rPr>
          <w:b/>
        </w:rPr>
        <w:t xml:space="preserve"> regulate immune response?</w:t>
      </w:r>
    </w:p>
    <w:p w14:paraId="0BF8363B" w14:textId="77777777" w:rsidR="007806A0" w:rsidRDefault="005F3986" w:rsidP="005F3986">
      <w:r>
        <w:t>1)</w:t>
      </w:r>
      <w:r w:rsidR="007806A0">
        <w:t xml:space="preserve"> Induction of Innate mechanisms</w:t>
      </w:r>
    </w:p>
    <w:p w14:paraId="2A7A8D60" w14:textId="13A6EB2C" w:rsidR="005F3986" w:rsidRDefault="007806A0" w:rsidP="005F3986">
      <w:r>
        <w:t>2) Induction of T cell regulatory balance</w:t>
      </w:r>
    </w:p>
    <w:p w14:paraId="078E6284" w14:textId="77777777" w:rsidR="005F3986" w:rsidRDefault="005F3986" w:rsidP="005F3986"/>
    <w:p w14:paraId="7C661FD7" w14:textId="2E7DA299" w:rsidR="005F3986" w:rsidRPr="00B21623" w:rsidRDefault="007806A0" w:rsidP="005F3986">
      <w:pPr>
        <w:rPr>
          <w:b/>
        </w:rPr>
      </w:pPr>
      <w:r>
        <w:rPr>
          <w:b/>
        </w:rPr>
        <w:t>S</w:t>
      </w:r>
      <w:r w:rsidR="005F3986" w:rsidRPr="00B21623">
        <w:rPr>
          <w:b/>
        </w:rPr>
        <w:t xml:space="preserve">pecific microbes </w:t>
      </w:r>
      <w:r>
        <w:rPr>
          <w:b/>
        </w:rPr>
        <w:t>may be</w:t>
      </w:r>
      <w:r w:rsidR="005F3986" w:rsidRPr="00B21623">
        <w:rPr>
          <w:b/>
        </w:rPr>
        <w:t xml:space="preserve"> responsible for</w:t>
      </w:r>
      <w:r>
        <w:rPr>
          <w:b/>
        </w:rPr>
        <w:t xml:space="preserve"> these effects (</w:t>
      </w:r>
      <w:proofErr w:type="spellStart"/>
      <w:r>
        <w:rPr>
          <w:b/>
        </w:rPr>
        <w:t>Treg</w:t>
      </w:r>
      <w:proofErr w:type="spellEnd"/>
      <w:r>
        <w:rPr>
          <w:b/>
        </w:rPr>
        <w:t xml:space="preserve"> induction)</w:t>
      </w:r>
    </w:p>
    <w:p w14:paraId="74E07CA7" w14:textId="24D383AD" w:rsidR="005F3986" w:rsidRDefault="005F3986" w:rsidP="005F3986">
      <w:r>
        <w:t xml:space="preserve">1. </w:t>
      </w:r>
      <w:proofErr w:type="spellStart"/>
      <w:r>
        <w:t>Nonenterotoxigenic</w:t>
      </w:r>
      <w:proofErr w:type="spellEnd"/>
      <w:r>
        <w:t xml:space="preserve"> </w:t>
      </w:r>
      <w:proofErr w:type="spellStart"/>
      <w:r>
        <w:t>Bacteroides</w:t>
      </w:r>
      <w:proofErr w:type="spellEnd"/>
      <w:r>
        <w:t xml:space="preserve"> </w:t>
      </w:r>
      <w:proofErr w:type="spellStart"/>
      <w:r>
        <w:t>fragilis</w:t>
      </w:r>
      <w:proofErr w:type="spellEnd"/>
      <w:r>
        <w:t xml:space="preserve"> – </w:t>
      </w:r>
    </w:p>
    <w:p w14:paraId="631B151E" w14:textId="131F8E62" w:rsidR="005F3986" w:rsidRDefault="005F3986" w:rsidP="005F3986">
      <w:pPr>
        <w:ind w:left="720"/>
      </w:pPr>
      <w:r>
        <w:t xml:space="preserve">a. </w:t>
      </w:r>
      <w:proofErr w:type="spellStart"/>
      <w:r w:rsidR="007806A0">
        <w:t>M</w:t>
      </w:r>
      <w:r>
        <w:t>onocolonized</w:t>
      </w:r>
      <w:proofErr w:type="spellEnd"/>
      <w:r>
        <w:t xml:space="preserve"> mice are protected via induction of IL-10 producing </w:t>
      </w:r>
      <w:proofErr w:type="spellStart"/>
      <w:r>
        <w:t>Treg</w:t>
      </w:r>
      <w:proofErr w:type="spellEnd"/>
      <w:r>
        <w:t xml:space="preserve"> induced by polysaccharide A (PSA) produced by B. </w:t>
      </w:r>
      <w:proofErr w:type="spellStart"/>
      <w:r>
        <w:t>fragilis</w:t>
      </w:r>
      <w:proofErr w:type="spellEnd"/>
      <w:r>
        <w:t>.</w:t>
      </w:r>
    </w:p>
    <w:p w14:paraId="210602E2" w14:textId="616F513F" w:rsidR="005F3986" w:rsidRDefault="005F3986" w:rsidP="005F3986">
      <w:pPr>
        <w:ind w:left="720"/>
      </w:pPr>
      <w:r>
        <w:t xml:space="preserve">b. PSA producing but not non-PSA producing B. </w:t>
      </w:r>
      <w:proofErr w:type="spellStart"/>
      <w:r>
        <w:t>fragilis</w:t>
      </w:r>
      <w:proofErr w:type="spellEnd"/>
      <w:r>
        <w:t xml:space="preserve"> suppress effector T cell function.</w:t>
      </w:r>
    </w:p>
    <w:p w14:paraId="7EA9498D" w14:textId="45938E79" w:rsidR="005F3986" w:rsidRDefault="007806A0" w:rsidP="005F3986">
      <w:pPr>
        <w:ind w:left="720"/>
      </w:pPr>
      <w:r>
        <w:t>c. Unlike other TLR</w:t>
      </w:r>
      <w:r w:rsidR="005F3986">
        <w:t xml:space="preserve"> ligands, PSA acts directly on </w:t>
      </w:r>
      <w:proofErr w:type="spellStart"/>
      <w:r w:rsidR="005F3986">
        <w:t>Treg</w:t>
      </w:r>
      <w:proofErr w:type="spellEnd"/>
      <w:r w:rsidR="005F3986">
        <w:t xml:space="preserve"> cells and ultimately induces lower IL-17 production via close contact in the epithelial crypts.</w:t>
      </w:r>
    </w:p>
    <w:p w14:paraId="3F77A1EE" w14:textId="48CD94CB" w:rsidR="005F3986" w:rsidRDefault="005F3986" w:rsidP="005F3986">
      <w:pPr>
        <w:ind w:left="720"/>
      </w:pPr>
      <w:r>
        <w:sym w:font="Wingdings" w:char="F0E0"/>
      </w:r>
      <w:r>
        <w:t xml:space="preserve"> Role of B. </w:t>
      </w:r>
      <w:proofErr w:type="spellStart"/>
      <w:r>
        <w:t>fragilis</w:t>
      </w:r>
      <w:proofErr w:type="spellEnd"/>
      <w:r>
        <w:t xml:space="preserve"> might be only local though in letting it colonize crypts </w:t>
      </w:r>
    </w:p>
    <w:p w14:paraId="6B8BFD1A" w14:textId="77777777" w:rsidR="005F3986" w:rsidRDefault="005F3986" w:rsidP="005F3986"/>
    <w:p w14:paraId="7479BFE2" w14:textId="77777777" w:rsidR="005F3986" w:rsidRDefault="005F3986" w:rsidP="005F3986">
      <w:r>
        <w:t>2. Clostridium species</w:t>
      </w:r>
    </w:p>
    <w:p w14:paraId="7DC3419A" w14:textId="0E731102" w:rsidR="005F3986" w:rsidRDefault="005F3986" w:rsidP="005F3986">
      <w:pPr>
        <w:ind w:left="720"/>
      </w:pPr>
      <w:r>
        <w:t xml:space="preserve">a. Germ free mice provided an SPF flora produce </w:t>
      </w:r>
      <w:proofErr w:type="spellStart"/>
      <w:r w:rsidR="007806A0">
        <w:t>Treg</w:t>
      </w:r>
      <w:proofErr w:type="spellEnd"/>
      <w:r>
        <w:t xml:space="preserve"> cells in colon dependent on </w:t>
      </w:r>
      <w:proofErr w:type="spellStart"/>
      <w:r>
        <w:t>gm</w:t>
      </w:r>
      <w:proofErr w:type="spellEnd"/>
      <w:r>
        <w:t>+ spore forming bacteria (</w:t>
      </w:r>
      <w:r w:rsidR="007806A0">
        <w:t xml:space="preserve">which include Clostridia and </w:t>
      </w:r>
      <w:r>
        <w:t xml:space="preserve">not B. </w:t>
      </w:r>
      <w:proofErr w:type="spellStart"/>
      <w:r>
        <w:t>fragilis</w:t>
      </w:r>
      <w:proofErr w:type="spellEnd"/>
      <w:r>
        <w:t>).</w:t>
      </w:r>
    </w:p>
    <w:p w14:paraId="46B89E91" w14:textId="0F3E1C24" w:rsidR="005F3986" w:rsidRDefault="005F3986" w:rsidP="005F3986">
      <w:pPr>
        <w:ind w:left="720"/>
      </w:pPr>
      <w:r>
        <w:t xml:space="preserve">b. Colonization with different cocktails of bacteria showed that SFB and </w:t>
      </w:r>
      <w:proofErr w:type="spellStart"/>
      <w:r>
        <w:t>Bacteroides</w:t>
      </w:r>
      <w:proofErr w:type="spellEnd"/>
      <w:r>
        <w:t xml:space="preserve"> and Lactobacillus weren’t capable but certain </w:t>
      </w:r>
      <w:proofErr w:type="spellStart"/>
      <w:r>
        <w:t>Clostridial</w:t>
      </w:r>
      <w:proofErr w:type="spellEnd"/>
      <w:r>
        <w:t xml:space="preserve"> groups were, independently of TLR, NLR, and </w:t>
      </w:r>
      <w:proofErr w:type="spellStart"/>
      <w:r>
        <w:t>Dectin</w:t>
      </w:r>
      <w:proofErr w:type="spellEnd"/>
      <w:r>
        <w:t xml:space="preserve"> signaling (KO mice) of inducing </w:t>
      </w:r>
      <w:proofErr w:type="spellStart"/>
      <w:r w:rsidR="007806A0">
        <w:t>Treg</w:t>
      </w:r>
      <w:proofErr w:type="spellEnd"/>
      <w:r>
        <w:t xml:space="preserve"> cells</w:t>
      </w:r>
      <w:r w:rsidR="007806A0">
        <w:t xml:space="preserve"> providing protection</w:t>
      </w:r>
      <w:r>
        <w:t>.</w:t>
      </w:r>
    </w:p>
    <w:p w14:paraId="33A7F0A0" w14:textId="62CAF3F4" w:rsidR="005F3986" w:rsidRDefault="005F3986" w:rsidP="005F3986">
      <w:r>
        <w:tab/>
        <w:t xml:space="preserve">c. However, this </w:t>
      </w:r>
      <w:r w:rsidR="007806A0">
        <w:t>may only be in the</w:t>
      </w:r>
      <w:r>
        <w:t xml:space="preserve"> colon </w:t>
      </w:r>
    </w:p>
    <w:p w14:paraId="08D918F3" w14:textId="77777777" w:rsidR="005F3986" w:rsidRDefault="005F3986" w:rsidP="005F3986"/>
    <w:p w14:paraId="0B9EE56B" w14:textId="0B038E82" w:rsidR="005F3986" w:rsidRDefault="007806A0" w:rsidP="005F3986">
      <w:r>
        <w:t>3. SFB</w:t>
      </w:r>
    </w:p>
    <w:p w14:paraId="5695F31E" w14:textId="730B0D8B" w:rsidR="0061779D" w:rsidRDefault="007806A0" w:rsidP="007806A0">
      <w:pPr>
        <w:ind w:left="720"/>
      </w:pPr>
      <w:r>
        <w:t xml:space="preserve">a. </w:t>
      </w:r>
      <w:r w:rsidR="0061779D">
        <w:t xml:space="preserve">SFB </w:t>
      </w:r>
      <w:proofErr w:type="gramStart"/>
      <w:r w:rsidR="0061779D">
        <w:t>seem</w:t>
      </w:r>
      <w:proofErr w:type="gramEnd"/>
      <w:r w:rsidR="0061779D">
        <w:t xml:space="preserve"> to prep the gut in the opposite way. Mice who don’t colonize SFB are deficient in IgA and do not develop as much Th17 pro-inflammatory cells. For instance, SFB-less mice don’t control </w:t>
      </w:r>
      <w:proofErr w:type="spellStart"/>
      <w:r w:rsidR="0061779D" w:rsidRPr="00811ECE">
        <w:rPr>
          <w:i/>
        </w:rPr>
        <w:t>Citrobacter</w:t>
      </w:r>
      <w:proofErr w:type="spellEnd"/>
      <w:r w:rsidR="0061779D" w:rsidRPr="00811ECE">
        <w:rPr>
          <w:i/>
        </w:rPr>
        <w:t xml:space="preserve"> </w:t>
      </w:r>
      <w:proofErr w:type="spellStart"/>
      <w:r w:rsidR="0061779D" w:rsidRPr="00811ECE">
        <w:rPr>
          <w:i/>
        </w:rPr>
        <w:t>rodentium</w:t>
      </w:r>
      <w:proofErr w:type="spellEnd"/>
      <w:r w:rsidR="0061779D">
        <w:t xml:space="preserve"> infection.</w:t>
      </w:r>
    </w:p>
    <w:p w14:paraId="519CB65D" w14:textId="2ACF0C28" w:rsidR="0061779D" w:rsidRDefault="007806A0" w:rsidP="007806A0">
      <w:pPr>
        <w:ind w:left="720"/>
      </w:pPr>
      <w:r>
        <w:t xml:space="preserve">b. </w:t>
      </w:r>
      <w:r w:rsidR="0061779D">
        <w:t xml:space="preserve">SFB attach tightly to epithelium in Ileum and at </w:t>
      </w:r>
      <w:proofErr w:type="spellStart"/>
      <w:r w:rsidR="0061779D">
        <w:t>Peyer’s</w:t>
      </w:r>
      <w:proofErr w:type="spellEnd"/>
      <w:r w:rsidR="0061779D">
        <w:t xml:space="preserve"> patches and may allow intimate stimulation of pro-inflammatory responses without overdoing it. Perhaps not coincidentally, many pathogens do the same </w:t>
      </w:r>
      <w:r>
        <w:t>thing.</w:t>
      </w:r>
    </w:p>
    <w:p w14:paraId="23FD2A0F" w14:textId="77777777" w:rsidR="0061779D" w:rsidRDefault="0061779D" w:rsidP="0061779D"/>
    <w:p w14:paraId="424348DB" w14:textId="77777777" w:rsidR="0061779D" w:rsidRPr="007806A0" w:rsidRDefault="0061779D" w:rsidP="0061779D">
      <w:pPr>
        <w:rPr>
          <w:b/>
        </w:rPr>
      </w:pPr>
      <w:r w:rsidRPr="007806A0">
        <w:rPr>
          <w:b/>
        </w:rPr>
        <w:t xml:space="preserve">Take home message </w:t>
      </w:r>
      <w:r w:rsidRPr="007806A0">
        <w:rPr>
          <w:b/>
        </w:rPr>
        <w:sym w:font="Wingdings" w:char="F0E0"/>
      </w:r>
      <w:r w:rsidRPr="007806A0">
        <w:rPr>
          <w:b/>
        </w:rPr>
        <w:t xml:space="preserve"> clearly complex, but specific interplay is important for initiation and progression of disease, over and above normal immune homeostasis of the mucosal surfaces.</w:t>
      </w:r>
    </w:p>
    <w:p w14:paraId="7A0BE9F8" w14:textId="77777777" w:rsidR="00303B31" w:rsidRDefault="00303B31" w:rsidP="00313764">
      <w:pPr>
        <w:widowControl w:val="0"/>
        <w:autoSpaceDE w:val="0"/>
        <w:autoSpaceDN w:val="0"/>
        <w:adjustRightInd w:val="0"/>
        <w:rPr>
          <w:bCs/>
          <w:lang w:bidi="en-US"/>
        </w:rPr>
      </w:pPr>
    </w:p>
    <w:p w14:paraId="0381779D" w14:textId="77777777" w:rsidR="007806A0" w:rsidRPr="00AA52B5" w:rsidRDefault="007806A0" w:rsidP="00313764">
      <w:pPr>
        <w:widowControl w:val="0"/>
        <w:autoSpaceDE w:val="0"/>
        <w:autoSpaceDN w:val="0"/>
        <w:adjustRightInd w:val="0"/>
        <w:rPr>
          <w:bCs/>
          <w:lang w:bidi="en-US"/>
        </w:rPr>
      </w:pPr>
    </w:p>
    <w:p w14:paraId="4433DBB4" w14:textId="1ED8F025" w:rsidR="00695904" w:rsidRPr="007806A0" w:rsidRDefault="00AA52B5" w:rsidP="007806A0">
      <w:pPr>
        <w:rPr>
          <w:b/>
          <w:bCs/>
          <w:lang w:bidi="en-US"/>
        </w:rPr>
      </w:pPr>
      <w:r w:rsidRPr="007806A0">
        <w:rPr>
          <w:b/>
          <w:bCs/>
          <w:lang w:bidi="en-US"/>
        </w:rPr>
        <w:t xml:space="preserve">D. </w:t>
      </w:r>
      <w:proofErr w:type="spellStart"/>
      <w:r w:rsidRPr="007806A0">
        <w:rPr>
          <w:b/>
          <w:bCs/>
          <w:lang w:bidi="en-US"/>
        </w:rPr>
        <w:t>UniFrac</w:t>
      </w:r>
      <w:proofErr w:type="spellEnd"/>
      <w:r w:rsidRPr="007806A0">
        <w:rPr>
          <w:b/>
          <w:bCs/>
          <w:lang w:bidi="en-US"/>
        </w:rPr>
        <w:t xml:space="preserve"> Analysis –</w:t>
      </w:r>
      <w:r w:rsidR="007806A0">
        <w:rPr>
          <w:b/>
          <w:bCs/>
          <w:lang w:bidi="en-US"/>
        </w:rPr>
        <w:t xml:space="preserve"> continued</w:t>
      </w:r>
    </w:p>
    <w:p w14:paraId="07C96BDB" w14:textId="77777777" w:rsidR="00AA52B5" w:rsidRPr="00AA52B5" w:rsidRDefault="00AA52B5" w:rsidP="00695904">
      <w:pPr>
        <w:widowControl w:val="0"/>
        <w:autoSpaceDE w:val="0"/>
        <w:autoSpaceDN w:val="0"/>
        <w:adjustRightInd w:val="0"/>
        <w:rPr>
          <w:bCs/>
          <w:lang w:bidi="en-US"/>
        </w:rPr>
      </w:pPr>
    </w:p>
    <w:p w14:paraId="1A25FB8D" w14:textId="63C9CFCF" w:rsidR="00695904" w:rsidRPr="00AA52B5" w:rsidRDefault="00AA52B5" w:rsidP="00695904">
      <w:pPr>
        <w:widowControl w:val="0"/>
        <w:autoSpaceDE w:val="0"/>
        <w:autoSpaceDN w:val="0"/>
        <w:adjustRightInd w:val="0"/>
        <w:rPr>
          <w:bCs/>
          <w:lang w:bidi="en-US"/>
        </w:rPr>
      </w:pPr>
      <w:r w:rsidRPr="00AA52B5">
        <w:rPr>
          <w:bCs/>
          <w:lang w:bidi="en-US"/>
        </w:rPr>
        <w:t>M</w:t>
      </w:r>
      <w:r w:rsidR="00695904" w:rsidRPr="00AA52B5">
        <w:rPr>
          <w:bCs/>
          <w:lang w:bidi="en-US"/>
        </w:rPr>
        <w:t>ajor axes:</w:t>
      </w:r>
    </w:p>
    <w:p w14:paraId="3E300EDD" w14:textId="77777777" w:rsidR="00695904" w:rsidRPr="00AA52B5" w:rsidRDefault="00695904" w:rsidP="00695904">
      <w:pPr>
        <w:widowControl w:val="0"/>
        <w:autoSpaceDE w:val="0"/>
        <w:autoSpaceDN w:val="0"/>
        <w:adjustRightInd w:val="0"/>
        <w:rPr>
          <w:bCs/>
          <w:lang w:bidi="en-US"/>
        </w:rPr>
      </w:pPr>
      <w:r w:rsidRPr="00AA52B5">
        <w:rPr>
          <w:bCs/>
          <w:lang w:bidi="en-US"/>
        </w:rPr>
        <w:t xml:space="preserve">A. </w:t>
      </w:r>
      <w:r w:rsidRPr="00AA52B5">
        <w:rPr>
          <w:bCs/>
          <w:lang w:bidi="en-US"/>
        </w:rPr>
        <w:tab/>
        <w:t>Alpha diversity – how many taxa/lineages in one sample</w:t>
      </w:r>
    </w:p>
    <w:p w14:paraId="54B7086E" w14:textId="77777777" w:rsidR="00695904" w:rsidRPr="00AA52B5" w:rsidRDefault="00695904" w:rsidP="00695904">
      <w:pPr>
        <w:widowControl w:val="0"/>
        <w:autoSpaceDE w:val="0"/>
        <w:autoSpaceDN w:val="0"/>
        <w:adjustRightInd w:val="0"/>
        <w:ind w:firstLine="720"/>
        <w:rPr>
          <w:bCs/>
          <w:lang w:bidi="en-US"/>
        </w:rPr>
      </w:pPr>
      <w:r w:rsidRPr="00AA52B5">
        <w:rPr>
          <w:bCs/>
          <w:lang w:bidi="en-US"/>
        </w:rPr>
        <w:t>Beta diversity – how taxa/lineages are shared</w:t>
      </w:r>
    </w:p>
    <w:p w14:paraId="445D9DED" w14:textId="77777777" w:rsidR="00720EDC" w:rsidRDefault="00720EDC" w:rsidP="00720EDC">
      <w:pPr>
        <w:rPr>
          <w:b/>
          <w:i/>
        </w:rPr>
      </w:pPr>
    </w:p>
    <w:p w14:paraId="116EB063" w14:textId="3025E5CE" w:rsidR="00720EDC" w:rsidRDefault="007F1841" w:rsidP="00720EDC">
      <w:r>
        <w:rPr>
          <w:i/>
        </w:rPr>
        <w:t xml:space="preserve">Remember the human </w:t>
      </w:r>
      <w:proofErr w:type="spellStart"/>
      <w:r>
        <w:rPr>
          <w:i/>
        </w:rPr>
        <w:t>microbiome</w:t>
      </w:r>
      <w:proofErr w:type="spellEnd"/>
      <w:r>
        <w:rPr>
          <w:i/>
        </w:rPr>
        <w:t xml:space="preserve"> sites – Turns out that </w:t>
      </w:r>
      <w:r w:rsidR="00720EDC" w:rsidRPr="00AA52B5">
        <w:rPr>
          <w:b/>
          <w:i/>
        </w:rPr>
        <w:t>Alpha and beta diversity</w:t>
      </w:r>
      <w:r>
        <w:t xml:space="preserve"> </w:t>
      </w:r>
      <w:proofErr w:type="gramStart"/>
      <w:r>
        <w:t>vary</w:t>
      </w:r>
      <w:proofErr w:type="gramEnd"/>
      <w:r>
        <w:t xml:space="preserve"> but are similar across body locations</w:t>
      </w:r>
      <w:r w:rsidR="00720EDC" w:rsidRPr="00AA52B5">
        <w:t xml:space="preserve">. </w:t>
      </w:r>
    </w:p>
    <w:p w14:paraId="38EDC9C2" w14:textId="1E634C81" w:rsidR="007F1841" w:rsidRPr="00AA52B5" w:rsidRDefault="007F1841" w:rsidP="007F1841">
      <w:pPr>
        <w:ind w:left="720"/>
      </w:pPr>
      <w:proofErr w:type="spellStart"/>
      <w:r>
        <w:t>Eg</w:t>
      </w:r>
      <w:proofErr w:type="spellEnd"/>
      <w:r>
        <w:t xml:space="preserve"> – vaginal community is lower diversity than GI tract, but variation between samples is similar to other sites.</w:t>
      </w:r>
    </w:p>
    <w:p w14:paraId="0CCB3D21" w14:textId="77777777" w:rsidR="00695904" w:rsidRPr="00AA52B5" w:rsidRDefault="00695904" w:rsidP="00695904">
      <w:pPr>
        <w:widowControl w:val="0"/>
        <w:autoSpaceDE w:val="0"/>
        <w:autoSpaceDN w:val="0"/>
        <w:adjustRightInd w:val="0"/>
        <w:rPr>
          <w:bCs/>
          <w:lang w:bidi="en-US"/>
        </w:rPr>
      </w:pPr>
    </w:p>
    <w:p w14:paraId="6BF4D44E" w14:textId="77777777" w:rsidR="00695904" w:rsidRPr="00AA52B5" w:rsidRDefault="00695904" w:rsidP="00695904">
      <w:pPr>
        <w:widowControl w:val="0"/>
        <w:autoSpaceDE w:val="0"/>
        <w:autoSpaceDN w:val="0"/>
        <w:adjustRightInd w:val="0"/>
        <w:rPr>
          <w:bCs/>
          <w:lang w:bidi="en-US"/>
        </w:rPr>
      </w:pPr>
      <w:r w:rsidRPr="00AA52B5">
        <w:rPr>
          <w:bCs/>
          <w:lang w:bidi="en-US"/>
        </w:rPr>
        <w:t xml:space="preserve">B. </w:t>
      </w:r>
      <w:r w:rsidRPr="00AA52B5">
        <w:rPr>
          <w:bCs/>
          <w:lang w:bidi="en-US"/>
        </w:rPr>
        <w:tab/>
        <w:t>Qualitative – presence/absence (aka - community membership)</w:t>
      </w:r>
    </w:p>
    <w:p w14:paraId="2A81B2D1" w14:textId="77777777" w:rsidR="00695904" w:rsidRPr="00AA52B5" w:rsidRDefault="00695904" w:rsidP="00695904">
      <w:pPr>
        <w:widowControl w:val="0"/>
        <w:autoSpaceDE w:val="0"/>
        <w:autoSpaceDN w:val="0"/>
        <w:adjustRightInd w:val="0"/>
        <w:ind w:left="720"/>
        <w:rPr>
          <w:bCs/>
          <w:lang w:bidi="en-US"/>
        </w:rPr>
      </w:pPr>
      <w:r w:rsidRPr="00AA52B5">
        <w:rPr>
          <w:bCs/>
          <w:lang w:bidi="en-US"/>
        </w:rPr>
        <w:t>Quantitative – relative abundance (aka - community structure – might include spatial and temporal too)</w:t>
      </w:r>
    </w:p>
    <w:p w14:paraId="4CB5C6C7" w14:textId="77777777" w:rsidR="00695904" w:rsidRPr="00AA52B5" w:rsidRDefault="00695904" w:rsidP="00695904">
      <w:pPr>
        <w:widowControl w:val="0"/>
        <w:autoSpaceDE w:val="0"/>
        <w:autoSpaceDN w:val="0"/>
        <w:adjustRightInd w:val="0"/>
        <w:rPr>
          <w:bCs/>
          <w:lang w:bidi="en-US"/>
        </w:rPr>
      </w:pPr>
    </w:p>
    <w:p w14:paraId="79A45DA1" w14:textId="79B752F0" w:rsidR="00695904" w:rsidRPr="00AA52B5" w:rsidRDefault="00695904" w:rsidP="00695904">
      <w:pPr>
        <w:widowControl w:val="0"/>
        <w:autoSpaceDE w:val="0"/>
        <w:autoSpaceDN w:val="0"/>
        <w:adjustRightInd w:val="0"/>
        <w:rPr>
          <w:bCs/>
          <w:lang w:bidi="en-US"/>
        </w:rPr>
      </w:pPr>
      <w:r w:rsidRPr="00AA52B5">
        <w:rPr>
          <w:bCs/>
          <w:lang w:bidi="en-US"/>
        </w:rPr>
        <w:t xml:space="preserve">So method, like </w:t>
      </w:r>
      <w:proofErr w:type="spellStart"/>
      <w:r w:rsidRPr="00AA52B5">
        <w:rPr>
          <w:bCs/>
          <w:lang w:bidi="en-US"/>
        </w:rPr>
        <w:t>unweighted</w:t>
      </w:r>
      <w:proofErr w:type="spellEnd"/>
      <w:r w:rsidRPr="00AA52B5">
        <w:rPr>
          <w:bCs/>
          <w:lang w:bidi="en-US"/>
        </w:rPr>
        <w:t xml:space="preserve"> </w:t>
      </w:r>
      <w:proofErr w:type="spellStart"/>
      <w:r w:rsidRPr="00AA52B5">
        <w:rPr>
          <w:bCs/>
          <w:lang w:bidi="en-US"/>
        </w:rPr>
        <w:t>UNIFrac</w:t>
      </w:r>
      <w:proofErr w:type="spellEnd"/>
      <w:r w:rsidRPr="00AA52B5">
        <w:rPr>
          <w:bCs/>
          <w:lang w:bidi="en-US"/>
        </w:rPr>
        <w:t xml:space="preserve"> is a qualitative, phylogenetic, beta diversity metric.</w:t>
      </w:r>
      <w:bookmarkStart w:id="0" w:name="_GoBack"/>
      <w:bookmarkEnd w:id="0"/>
    </w:p>
    <w:p w14:paraId="31A8DFF3" w14:textId="77777777" w:rsidR="00695904" w:rsidRPr="00AA52B5" w:rsidRDefault="00695904" w:rsidP="00695904">
      <w:pPr>
        <w:widowControl w:val="0"/>
        <w:autoSpaceDE w:val="0"/>
        <w:autoSpaceDN w:val="0"/>
        <w:adjustRightInd w:val="0"/>
        <w:rPr>
          <w:bCs/>
          <w:lang w:bidi="en-US"/>
        </w:rPr>
      </w:pPr>
      <w:r w:rsidRPr="00AA52B5">
        <w:rPr>
          <w:bCs/>
          <w:lang w:bidi="en-US"/>
        </w:rPr>
        <w:t xml:space="preserve">Human gut </w:t>
      </w:r>
      <w:proofErr w:type="spellStart"/>
      <w:r w:rsidRPr="00AA52B5">
        <w:rPr>
          <w:bCs/>
          <w:lang w:bidi="en-US"/>
        </w:rPr>
        <w:t>microbiota</w:t>
      </w:r>
      <w:proofErr w:type="spellEnd"/>
      <w:r w:rsidRPr="00AA52B5">
        <w:rPr>
          <w:bCs/>
          <w:lang w:bidi="en-US"/>
        </w:rPr>
        <w:t xml:space="preserve"> seems to be relatively few deep-branching taxa with enormous diversity at the tips. </w:t>
      </w:r>
    </w:p>
    <w:p w14:paraId="36A44DDC" w14:textId="77777777" w:rsidR="00695904" w:rsidRPr="00AA52B5" w:rsidRDefault="00695904" w:rsidP="00695904"/>
    <w:p w14:paraId="395247D2" w14:textId="75951DB3" w:rsidR="00812EC3" w:rsidRPr="00AA52B5" w:rsidRDefault="00812EC3" w:rsidP="007806A0">
      <w:pPr>
        <w:rPr>
          <w:bCs/>
          <w:color w:val="333333"/>
          <w:lang w:bidi="en-US"/>
        </w:rPr>
      </w:pPr>
    </w:p>
    <w:sectPr w:rsidR="00812EC3" w:rsidRPr="00AA52B5" w:rsidSect="00061432">
      <w:head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9699FF" w14:textId="77777777" w:rsidR="00AF0F64" w:rsidRDefault="00AF0F64" w:rsidP="00AC7EC0">
      <w:r>
        <w:separator/>
      </w:r>
    </w:p>
  </w:endnote>
  <w:endnote w:type="continuationSeparator" w:id="0">
    <w:p w14:paraId="57790AEF" w14:textId="77777777" w:rsidR="00AF0F64" w:rsidRDefault="00AF0F64" w:rsidP="00AC7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yriad Pro">
    <w:panose1 w:val="020B0503030403020204"/>
    <w:charset w:val="00"/>
    <w:family w:val="auto"/>
    <w:pitch w:val="variable"/>
    <w:sig w:usb0="A00002AF" w:usb1="5000204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480EB7" w14:textId="77777777" w:rsidR="00AF0F64" w:rsidRDefault="00AF0F64" w:rsidP="00AC7EC0">
      <w:r>
        <w:separator/>
      </w:r>
    </w:p>
  </w:footnote>
  <w:footnote w:type="continuationSeparator" w:id="0">
    <w:p w14:paraId="312FF129" w14:textId="77777777" w:rsidR="00AF0F64" w:rsidRDefault="00AF0F64" w:rsidP="00AC7EC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A64E7" w14:textId="52C58A0C" w:rsidR="00AF0F64" w:rsidRDefault="00AF0F64" w:rsidP="00AC7EC0">
    <w:pPr>
      <w:pStyle w:val="Header"/>
    </w:pPr>
    <w:r>
      <w:t>20.109 – Fundamentals of Biological Engineering</w:t>
    </w:r>
    <w:r>
      <w:tab/>
      <w:t>Runstadler lecture outline</w:t>
    </w:r>
  </w:p>
  <w:p w14:paraId="4A7DB128" w14:textId="77777777" w:rsidR="00AF0F64" w:rsidRDefault="00AF0F64">
    <w:pPr>
      <w:pStyle w:val="Header"/>
    </w:pPr>
    <w:r>
      <w:tab/>
    </w:r>
    <w:r>
      <w:tab/>
      <w:t>February 25, 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0">
      <w:start w:val="1"/>
      <w:numFmt w:val="bullet"/>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3522AC"/>
    <w:multiLevelType w:val="hybridMultilevel"/>
    <w:tmpl w:val="4DF62F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AA5474"/>
    <w:multiLevelType w:val="hybridMultilevel"/>
    <w:tmpl w:val="576AE34A"/>
    <w:lvl w:ilvl="0" w:tplc="0B808A50">
      <w:start w:val="1"/>
      <w:numFmt w:val="bullet"/>
      <w:lvlText w:val="•"/>
      <w:lvlJc w:val="left"/>
      <w:pPr>
        <w:tabs>
          <w:tab w:val="num" w:pos="720"/>
        </w:tabs>
        <w:ind w:left="720" w:hanging="360"/>
      </w:pPr>
      <w:rPr>
        <w:rFonts w:ascii="Arial" w:hAnsi="Arial" w:hint="default"/>
      </w:rPr>
    </w:lvl>
    <w:lvl w:ilvl="1" w:tplc="96D26BFE" w:tentative="1">
      <w:start w:val="1"/>
      <w:numFmt w:val="bullet"/>
      <w:lvlText w:val="•"/>
      <w:lvlJc w:val="left"/>
      <w:pPr>
        <w:tabs>
          <w:tab w:val="num" w:pos="1440"/>
        </w:tabs>
        <w:ind w:left="1440" w:hanging="360"/>
      </w:pPr>
      <w:rPr>
        <w:rFonts w:ascii="Arial" w:hAnsi="Arial" w:hint="default"/>
      </w:rPr>
    </w:lvl>
    <w:lvl w:ilvl="2" w:tplc="4EFCA3F2" w:tentative="1">
      <w:start w:val="1"/>
      <w:numFmt w:val="bullet"/>
      <w:lvlText w:val="•"/>
      <w:lvlJc w:val="left"/>
      <w:pPr>
        <w:tabs>
          <w:tab w:val="num" w:pos="2160"/>
        </w:tabs>
        <w:ind w:left="2160" w:hanging="360"/>
      </w:pPr>
      <w:rPr>
        <w:rFonts w:ascii="Arial" w:hAnsi="Arial" w:hint="default"/>
      </w:rPr>
    </w:lvl>
    <w:lvl w:ilvl="3" w:tplc="1F869852" w:tentative="1">
      <w:start w:val="1"/>
      <w:numFmt w:val="bullet"/>
      <w:lvlText w:val="•"/>
      <w:lvlJc w:val="left"/>
      <w:pPr>
        <w:tabs>
          <w:tab w:val="num" w:pos="2880"/>
        </w:tabs>
        <w:ind w:left="2880" w:hanging="360"/>
      </w:pPr>
      <w:rPr>
        <w:rFonts w:ascii="Arial" w:hAnsi="Arial" w:hint="default"/>
      </w:rPr>
    </w:lvl>
    <w:lvl w:ilvl="4" w:tplc="1B641522" w:tentative="1">
      <w:start w:val="1"/>
      <w:numFmt w:val="bullet"/>
      <w:lvlText w:val="•"/>
      <w:lvlJc w:val="left"/>
      <w:pPr>
        <w:tabs>
          <w:tab w:val="num" w:pos="3600"/>
        </w:tabs>
        <w:ind w:left="3600" w:hanging="360"/>
      </w:pPr>
      <w:rPr>
        <w:rFonts w:ascii="Arial" w:hAnsi="Arial" w:hint="default"/>
      </w:rPr>
    </w:lvl>
    <w:lvl w:ilvl="5" w:tplc="2A648D80" w:tentative="1">
      <w:start w:val="1"/>
      <w:numFmt w:val="bullet"/>
      <w:lvlText w:val="•"/>
      <w:lvlJc w:val="left"/>
      <w:pPr>
        <w:tabs>
          <w:tab w:val="num" w:pos="4320"/>
        </w:tabs>
        <w:ind w:left="4320" w:hanging="360"/>
      </w:pPr>
      <w:rPr>
        <w:rFonts w:ascii="Arial" w:hAnsi="Arial" w:hint="default"/>
      </w:rPr>
    </w:lvl>
    <w:lvl w:ilvl="6" w:tplc="D84C773C" w:tentative="1">
      <w:start w:val="1"/>
      <w:numFmt w:val="bullet"/>
      <w:lvlText w:val="•"/>
      <w:lvlJc w:val="left"/>
      <w:pPr>
        <w:tabs>
          <w:tab w:val="num" w:pos="5040"/>
        </w:tabs>
        <w:ind w:left="5040" w:hanging="360"/>
      </w:pPr>
      <w:rPr>
        <w:rFonts w:ascii="Arial" w:hAnsi="Arial" w:hint="default"/>
      </w:rPr>
    </w:lvl>
    <w:lvl w:ilvl="7" w:tplc="D2B63DCA" w:tentative="1">
      <w:start w:val="1"/>
      <w:numFmt w:val="bullet"/>
      <w:lvlText w:val="•"/>
      <w:lvlJc w:val="left"/>
      <w:pPr>
        <w:tabs>
          <w:tab w:val="num" w:pos="5760"/>
        </w:tabs>
        <w:ind w:left="5760" w:hanging="360"/>
      </w:pPr>
      <w:rPr>
        <w:rFonts w:ascii="Arial" w:hAnsi="Arial" w:hint="default"/>
      </w:rPr>
    </w:lvl>
    <w:lvl w:ilvl="8" w:tplc="D30A9C94" w:tentative="1">
      <w:start w:val="1"/>
      <w:numFmt w:val="bullet"/>
      <w:lvlText w:val="•"/>
      <w:lvlJc w:val="left"/>
      <w:pPr>
        <w:tabs>
          <w:tab w:val="num" w:pos="6480"/>
        </w:tabs>
        <w:ind w:left="6480" w:hanging="360"/>
      </w:pPr>
      <w:rPr>
        <w:rFonts w:ascii="Arial" w:hAnsi="Arial" w:hint="default"/>
      </w:rPr>
    </w:lvl>
  </w:abstractNum>
  <w:abstractNum w:abstractNumId="3">
    <w:nsid w:val="0C62463A"/>
    <w:multiLevelType w:val="hybridMultilevel"/>
    <w:tmpl w:val="3B9A1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E42F94"/>
    <w:multiLevelType w:val="hybridMultilevel"/>
    <w:tmpl w:val="EFA06A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C11BC8"/>
    <w:multiLevelType w:val="hybridMultilevel"/>
    <w:tmpl w:val="5CD607EC"/>
    <w:lvl w:ilvl="0" w:tplc="7024AAA8">
      <w:numFmt w:val="bullet"/>
      <w:lvlText w:val="−"/>
      <w:lvlJc w:val="left"/>
      <w:pPr>
        <w:ind w:left="720" w:hanging="360"/>
      </w:pPr>
      <w:rPr>
        <w:rFonts w:ascii="Times New Roman" w:eastAsia="Times New Roman" w:hAnsi="Times New Roman" w:cs="Times New Roman" w:hint="default"/>
        <w:color w:val="85699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4F7E90"/>
    <w:multiLevelType w:val="hybridMultilevel"/>
    <w:tmpl w:val="C2EEB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D61C66"/>
    <w:multiLevelType w:val="hybridMultilevel"/>
    <w:tmpl w:val="4B1C0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D41B2C"/>
    <w:multiLevelType w:val="hybridMultilevel"/>
    <w:tmpl w:val="D0E68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3D487E"/>
    <w:multiLevelType w:val="hybridMultilevel"/>
    <w:tmpl w:val="BF62A050"/>
    <w:lvl w:ilvl="0" w:tplc="84760480">
      <w:start w:val="1"/>
      <w:numFmt w:val="bullet"/>
      <w:lvlText w:val="•"/>
      <w:lvlJc w:val="left"/>
      <w:pPr>
        <w:tabs>
          <w:tab w:val="num" w:pos="720"/>
        </w:tabs>
        <w:ind w:left="720" w:hanging="360"/>
      </w:pPr>
      <w:rPr>
        <w:rFonts w:ascii="Arial" w:hAnsi="Arial" w:hint="default"/>
      </w:rPr>
    </w:lvl>
    <w:lvl w:ilvl="1" w:tplc="E0827622" w:tentative="1">
      <w:start w:val="1"/>
      <w:numFmt w:val="bullet"/>
      <w:lvlText w:val="•"/>
      <w:lvlJc w:val="left"/>
      <w:pPr>
        <w:tabs>
          <w:tab w:val="num" w:pos="1440"/>
        </w:tabs>
        <w:ind w:left="1440" w:hanging="360"/>
      </w:pPr>
      <w:rPr>
        <w:rFonts w:ascii="Arial" w:hAnsi="Arial" w:hint="default"/>
      </w:rPr>
    </w:lvl>
    <w:lvl w:ilvl="2" w:tplc="7092EFA6" w:tentative="1">
      <w:start w:val="1"/>
      <w:numFmt w:val="bullet"/>
      <w:lvlText w:val="•"/>
      <w:lvlJc w:val="left"/>
      <w:pPr>
        <w:tabs>
          <w:tab w:val="num" w:pos="2160"/>
        </w:tabs>
        <w:ind w:left="2160" w:hanging="360"/>
      </w:pPr>
      <w:rPr>
        <w:rFonts w:ascii="Arial" w:hAnsi="Arial" w:hint="default"/>
      </w:rPr>
    </w:lvl>
    <w:lvl w:ilvl="3" w:tplc="492EB6A4" w:tentative="1">
      <w:start w:val="1"/>
      <w:numFmt w:val="bullet"/>
      <w:lvlText w:val="•"/>
      <w:lvlJc w:val="left"/>
      <w:pPr>
        <w:tabs>
          <w:tab w:val="num" w:pos="2880"/>
        </w:tabs>
        <w:ind w:left="2880" w:hanging="360"/>
      </w:pPr>
      <w:rPr>
        <w:rFonts w:ascii="Arial" w:hAnsi="Arial" w:hint="default"/>
      </w:rPr>
    </w:lvl>
    <w:lvl w:ilvl="4" w:tplc="5102208C" w:tentative="1">
      <w:start w:val="1"/>
      <w:numFmt w:val="bullet"/>
      <w:lvlText w:val="•"/>
      <w:lvlJc w:val="left"/>
      <w:pPr>
        <w:tabs>
          <w:tab w:val="num" w:pos="3600"/>
        </w:tabs>
        <w:ind w:left="3600" w:hanging="360"/>
      </w:pPr>
      <w:rPr>
        <w:rFonts w:ascii="Arial" w:hAnsi="Arial" w:hint="default"/>
      </w:rPr>
    </w:lvl>
    <w:lvl w:ilvl="5" w:tplc="1F70919E" w:tentative="1">
      <w:start w:val="1"/>
      <w:numFmt w:val="bullet"/>
      <w:lvlText w:val="•"/>
      <w:lvlJc w:val="left"/>
      <w:pPr>
        <w:tabs>
          <w:tab w:val="num" w:pos="4320"/>
        </w:tabs>
        <w:ind w:left="4320" w:hanging="360"/>
      </w:pPr>
      <w:rPr>
        <w:rFonts w:ascii="Arial" w:hAnsi="Arial" w:hint="default"/>
      </w:rPr>
    </w:lvl>
    <w:lvl w:ilvl="6" w:tplc="F5B0FFDC" w:tentative="1">
      <w:start w:val="1"/>
      <w:numFmt w:val="bullet"/>
      <w:lvlText w:val="•"/>
      <w:lvlJc w:val="left"/>
      <w:pPr>
        <w:tabs>
          <w:tab w:val="num" w:pos="5040"/>
        </w:tabs>
        <w:ind w:left="5040" w:hanging="360"/>
      </w:pPr>
      <w:rPr>
        <w:rFonts w:ascii="Arial" w:hAnsi="Arial" w:hint="default"/>
      </w:rPr>
    </w:lvl>
    <w:lvl w:ilvl="7" w:tplc="20B28DA2" w:tentative="1">
      <w:start w:val="1"/>
      <w:numFmt w:val="bullet"/>
      <w:lvlText w:val="•"/>
      <w:lvlJc w:val="left"/>
      <w:pPr>
        <w:tabs>
          <w:tab w:val="num" w:pos="5760"/>
        </w:tabs>
        <w:ind w:left="5760" w:hanging="360"/>
      </w:pPr>
      <w:rPr>
        <w:rFonts w:ascii="Arial" w:hAnsi="Arial" w:hint="default"/>
      </w:rPr>
    </w:lvl>
    <w:lvl w:ilvl="8" w:tplc="0F965C22" w:tentative="1">
      <w:start w:val="1"/>
      <w:numFmt w:val="bullet"/>
      <w:lvlText w:val="•"/>
      <w:lvlJc w:val="left"/>
      <w:pPr>
        <w:tabs>
          <w:tab w:val="num" w:pos="6480"/>
        </w:tabs>
        <w:ind w:left="6480" w:hanging="360"/>
      </w:pPr>
      <w:rPr>
        <w:rFonts w:ascii="Arial" w:hAnsi="Arial" w:hint="default"/>
      </w:rPr>
    </w:lvl>
  </w:abstractNum>
  <w:abstractNum w:abstractNumId="10">
    <w:nsid w:val="28487C3A"/>
    <w:multiLevelType w:val="hybridMultilevel"/>
    <w:tmpl w:val="EBFCB3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136A4C"/>
    <w:multiLevelType w:val="hybridMultilevel"/>
    <w:tmpl w:val="EA7C49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C84C20"/>
    <w:multiLevelType w:val="hybridMultilevel"/>
    <w:tmpl w:val="5D841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2D7BA7"/>
    <w:multiLevelType w:val="hybridMultilevel"/>
    <w:tmpl w:val="ED6CD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234933"/>
    <w:multiLevelType w:val="hybridMultilevel"/>
    <w:tmpl w:val="9A4AA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B06D8D"/>
    <w:multiLevelType w:val="hybridMultilevel"/>
    <w:tmpl w:val="ED6CD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420F6F"/>
    <w:multiLevelType w:val="multilevel"/>
    <w:tmpl w:val="970E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E62384F"/>
    <w:multiLevelType w:val="hybridMultilevel"/>
    <w:tmpl w:val="9A4AA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915C58"/>
    <w:multiLevelType w:val="hybridMultilevel"/>
    <w:tmpl w:val="9A4AA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183E39"/>
    <w:multiLevelType w:val="hybridMultilevel"/>
    <w:tmpl w:val="A3522282"/>
    <w:lvl w:ilvl="0" w:tplc="56D8FEF4">
      <w:start w:val="1"/>
      <w:numFmt w:val="bullet"/>
      <w:lvlText w:val="•"/>
      <w:lvlJc w:val="left"/>
      <w:pPr>
        <w:tabs>
          <w:tab w:val="num" w:pos="720"/>
        </w:tabs>
        <w:ind w:left="720" w:hanging="360"/>
      </w:pPr>
      <w:rPr>
        <w:rFonts w:ascii="Arial" w:hAnsi="Arial" w:hint="default"/>
      </w:rPr>
    </w:lvl>
    <w:lvl w:ilvl="1" w:tplc="5AE43768" w:tentative="1">
      <w:start w:val="1"/>
      <w:numFmt w:val="bullet"/>
      <w:lvlText w:val="•"/>
      <w:lvlJc w:val="left"/>
      <w:pPr>
        <w:tabs>
          <w:tab w:val="num" w:pos="1440"/>
        </w:tabs>
        <w:ind w:left="1440" w:hanging="360"/>
      </w:pPr>
      <w:rPr>
        <w:rFonts w:ascii="Arial" w:hAnsi="Arial" w:hint="default"/>
      </w:rPr>
    </w:lvl>
    <w:lvl w:ilvl="2" w:tplc="DCE0FC0A" w:tentative="1">
      <w:start w:val="1"/>
      <w:numFmt w:val="bullet"/>
      <w:lvlText w:val="•"/>
      <w:lvlJc w:val="left"/>
      <w:pPr>
        <w:tabs>
          <w:tab w:val="num" w:pos="2160"/>
        </w:tabs>
        <w:ind w:left="2160" w:hanging="360"/>
      </w:pPr>
      <w:rPr>
        <w:rFonts w:ascii="Arial" w:hAnsi="Arial" w:hint="default"/>
      </w:rPr>
    </w:lvl>
    <w:lvl w:ilvl="3" w:tplc="AF54C76C" w:tentative="1">
      <w:start w:val="1"/>
      <w:numFmt w:val="bullet"/>
      <w:lvlText w:val="•"/>
      <w:lvlJc w:val="left"/>
      <w:pPr>
        <w:tabs>
          <w:tab w:val="num" w:pos="2880"/>
        </w:tabs>
        <w:ind w:left="2880" w:hanging="360"/>
      </w:pPr>
      <w:rPr>
        <w:rFonts w:ascii="Arial" w:hAnsi="Arial" w:hint="default"/>
      </w:rPr>
    </w:lvl>
    <w:lvl w:ilvl="4" w:tplc="37CA9E10" w:tentative="1">
      <w:start w:val="1"/>
      <w:numFmt w:val="bullet"/>
      <w:lvlText w:val="•"/>
      <w:lvlJc w:val="left"/>
      <w:pPr>
        <w:tabs>
          <w:tab w:val="num" w:pos="3600"/>
        </w:tabs>
        <w:ind w:left="3600" w:hanging="360"/>
      </w:pPr>
      <w:rPr>
        <w:rFonts w:ascii="Arial" w:hAnsi="Arial" w:hint="default"/>
      </w:rPr>
    </w:lvl>
    <w:lvl w:ilvl="5" w:tplc="64EE5A64" w:tentative="1">
      <w:start w:val="1"/>
      <w:numFmt w:val="bullet"/>
      <w:lvlText w:val="•"/>
      <w:lvlJc w:val="left"/>
      <w:pPr>
        <w:tabs>
          <w:tab w:val="num" w:pos="4320"/>
        </w:tabs>
        <w:ind w:left="4320" w:hanging="360"/>
      </w:pPr>
      <w:rPr>
        <w:rFonts w:ascii="Arial" w:hAnsi="Arial" w:hint="default"/>
      </w:rPr>
    </w:lvl>
    <w:lvl w:ilvl="6" w:tplc="3A8468CE" w:tentative="1">
      <w:start w:val="1"/>
      <w:numFmt w:val="bullet"/>
      <w:lvlText w:val="•"/>
      <w:lvlJc w:val="left"/>
      <w:pPr>
        <w:tabs>
          <w:tab w:val="num" w:pos="5040"/>
        </w:tabs>
        <w:ind w:left="5040" w:hanging="360"/>
      </w:pPr>
      <w:rPr>
        <w:rFonts w:ascii="Arial" w:hAnsi="Arial" w:hint="default"/>
      </w:rPr>
    </w:lvl>
    <w:lvl w:ilvl="7" w:tplc="3CC0F9C4" w:tentative="1">
      <w:start w:val="1"/>
      <w:numFmt w:val="bullet"/>
      <w:lvlText w:val="•"/>
      <w:lvlJc w:val="left"/>
      <w:pPr>
        <w:tabs>
          <w:tab w:val="num" w:pos="5760"/>
        </w:tabs>
        <w:ind w:left="5760" w:hanging="360"/>
      </w:pPr>
      <w:rPr>
        <w:rFonts w:ascii="Arial" w:hAnsi="Arial" w:hint="default"/>
      </w:rPr>
    </w:lvl>
    <w:lvl w:ilvl="8" w:tplc="57AA8382" w:tentative="1">
      <w:start w:val="1"/>
      <w:numFmt w:val="bullet"/>
      <w:lvlText w:val="•"/>
      <w:lvlJc w:val="left"/>
      <w:pPr>
        <w:tabs>
          <w:tab w:val="num" w:pos="6480"/>
        </w:tabs>
        <w:ind w:left="6480" w:hanging="360"/>
      </w:pPr>
      <w:rPr>
        <w:rFonts w:ascii="Arial" w:hAnsi="Arial" w:hint="default"/>
      </w:rPr>
    </w:lvl>
  </w:abstractNum>
  <w:abstractNum w:abstractNumId="20">
    <w:nsid w:val="51556F55"/>
    <w:multiLevelType w:val="hybridMultilevel"/>
    <w:tmpl w:val="ED6CD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D9379A"/>
    <w:multiLevelType w:val="hybridMultilevel"/>
    <w:tmpl w:val="C08EADCE"/>
    <w:lvl w:ilvl="0" w:tplc="851E4D7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97D61DA"/>
    <w:multiLevelType w:val="hybridMultilevel"/>
    <w:tmpl w:val="61047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7770D9"/>
    <w:multiLevelType w:val="hybridMultilevel"/>
    <w:tmpl w:val="DBD8B194"/>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nsid w:val="6F0444EE"/>
    <w:multiLevelType w:val="hybridMultilevel"/>
    <w:tmpl w:val="3260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5A3F84"/>
    <w:multiLevelType w:val="hybridMultilevel"/>
    <w:tmpl w:val="D07003D6"/>
    <w:lvl w:ilvl="0" w:tplc="F258B6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8E775BF"/>
    <w:multiLevelType w:val="hybridMultilevel"/>
    <w:tmpl w:val="7EC26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0"/>
  </w:num>
  <w:num w:numId="3">
    <w:abstractNumId w:val="18"/>
  </w:num>
  <w:num w:numId="4">
    <w:abstractNumId w:val="22"/>
  </w:num>
  <w:num w:numId="5">
    <w:abstractNumId w:val="17"/>
  </w:num>
  <w:num w:numId="6">
    <w:abstractNumId w:val="16"/>
  </w:num>
  <w:num w:numId="7">
    <w:abstractNumId w:val="12"/>
  </w:num>
  <w:num w:numId="8">
    <w:abstractNumId w:val="20"/>
  </w:num>
  <w:num w:numId="9">
    <w:abstractNumId w:val="15"/>
  </w:num>
  <w:num w:numId="10">
    <w:abstractNumId w:val="13"/>
  </w:num>
  <w:num w:numId="11">
    <w:abstractNumId w:val="1"/>
  </w:num>
  <w:num w:numId="12">
    <w:abstractNumId w:val="11"/>
  </w:num>
  <w:num w:numId="13">
    <w:abstractNumId w:val="26"/>
  </w:num>
  <w:num w:numId="14">
    <w:abstractNumId w:val="24"/>
  </w:num>
  <w:num w:numId="15">
    <w:abstractNumId w:val="8"/>
  </w:num>
  <w:num w:numId="16">
    <w:abstractNumId w:val="10"/>
  </w:num>
  <w:num w:numId="17">
    <w:abstractNumId w:val="6"/>
  </w:num>
  <w:num w:numId="18">
    <w:abstractNumId w:val="7"/>
  </w:num>
  <w:num w:numId="19">
    <w:abstractNumId w:val="4"/>
  </w:num>
  <w:num w:numId="20">
    <w:abstractNumId w:val="5"/>
  </w:num>
  <w:num w:numId="21">
    <w:abstractNumId w:val="21"/>
  </w:num>
  <w:num w:numId="22">
    <w:abstractNumId w:val="14"/>
  </w:num>
  <w:num w:numId="23">
    <w:abstractNumId w:val="9"/>
  </w:num>
  <w:num w:numId="24">
    <w:abstractNumId w:val="2"/>
  </w:num>
  <w:num w:numId="25">
    <w:abstractNumId w:val="19"/>
  </w:num>
  <w:num w:numId="26">
    <w:abstractNumId w:val="25"/>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656"/>
    <w:rsid w:val="000128AB"/>
    <w:rsid w:val="000137C7"/>
    <w:rsid w:val="00014CC6"/>
    <w:rsid w:val="000206E9"/>
    <w:rsid w:val="00030DB7"/>
    <w:rsid w:val="00051A76"/>
    <w:rsid w:val="00052608"/>
    <w:rsid w:val="00053FBE"/>
    <w:rsid w:val="00061432"/>
    <w:rsid w:val="00064420"/>
    <w:rsid w:val="0006648A"/>
    <w:rsid w:val="000807F0"/>
    <w:rsid w:val="000A026E"/>
    <w:rsid w:val="000A19CF"/>
    <w:rsid w:val="000A6C2B"/>
    <w:rsid w:val="000C360F"/>
    <w:rsid w:val="000C5BDE"/>
    <w:rsid w:val="000C774D"/>
    <w:rsid w:val="000E13CD"/>
    <w:rsid w:val="000F3A40"/>
    <w:rsid w:val="000F44D9"/>
    <w:rsid w:val="000F6622"/>
    <w:rsid w:val="00107016"/>
    <w:rsid w:val="00112342"/>
    <w:rsid w:val="00116738"/>
    <w:rsid w:val="00121F3C"/>
    <w:rsid w:val="00152494"/>
    <w:rsid w:val="00155431"/>
    <w:rsid w:val="00166051"/>
    <w:rsid w:val="001738DE"/>
    <w:rsid w:val="00195427"/>
    <w:rsid w:val="001A0729"/>
    <w:rsid w:val="001C6757"/>
    <w:rsid w:val="001F2AC3"/>
    <w:rsid w:val="00202D96"/>
    <w:rsid w:val="00210DC8"/>
    <w:rsid w:val="002318BD"/>
    <w:rsid w:val="00244BE7"/>
    <w:rsid w:val="0026039C"/>
    <w:rsid w:val="0028357C"/>
    <w:rsid w:val="002903D2"/>
    <w:rsid w:val="002B5826"/>
    <w:rsid w:val="002D1EC5"/>
    <w:rsid w:val="002F375B"/>
    <w:rsid w:val="002F697B"/>
    <w:rsid w:val="00303B31"/>
    <w:rsid w:val="00313764"/>
    <w:rsid w:val="00332C0C"/>
    <w:rsid w:val="00342918"/>
    <w:rsid w:val="00365785"/>
    <w:rsid w:val="00377017"/>
    <w:rsid w:val="00397F90"/>
    <w:rsid w:val="003A3DD4"/>
    <w:rsid w:val="003A567A"/>
    <w:rsid w:val="003B2CFF"/>
    <w:rsid w:val="003C0610"/>
    <w:rsid w:val="003C1EE2"/>
    <w:rsid w:val="003D7B3C"/>
    <w:rsid w:val="003E0D7F"/>
    <w:rsid w:val="0040421F"/>
    <w:rsid w:val="00424C31"/>
    <w:rsid w:val="004465F3"/>
    <w:rsid w:val="004669E7"/>
    <w:rsid w:val="0046714C"/>
    <w:rsid w:val="00476823"/>
    <w:rsid w:val="00485920"/>
    <w:rsid w:val="00491B94"/>
    <w:rsid w:val="0049223A"/>
    <w:rsid w:val="004B6500"/>
    <w:rsid w:val="004D3B89"/>
    <w:rsid w:val="004E17CA"/>
    <w:rsid w:val="004E7254"/>
    <w:rsid w:val="004F732A"/>
    <w:rsid w:val="00513E6E"/>
    <w:rsid w:val="00514A28"/>
    <w:rsid w:val="005310A4"/>
    <w:rsid w:val="00533D01"/>
    <w:rsid w:val="0053795E"/>
    <w:rsid w:val="00546531"/>
    <w:rsid w:val="00552050"/>
    <w:rsid w:val="00553606"/>
    <w:rsid w:val="00553675"/>
    <w:rsid w:val="005849B4"/>
    <w:rsid w:val="00595100"/>
    <w:rsid w:val="005B2C2A"/>
    <w:rsid w:val="005C0540"/>
    <w:rsid w:val="005C117E"/>
    <w:rsid w:val="005E0ED4"/>
    <w:rsid w:val="005E4656"/>
    <w:rsid w:val="005F3986"/>
    <w:rsid w:val="005F6A70"/>
    <w:rsid w:val="00612505"/>
    <w:rsid w:val="006159BC"/>
    <w:rsid w:val="0061779D"/>
    <w:rsid w:val="006315A1"/>
    <w:rsid w:val="006327FA"/>
    <w:rsid w:val="00644D7F"/>
    <w:rsid w:val="006576B2"/>
    <w:rsid w:val="006618AC"/>
    <w:rsid w:val="00662A90"/>
    <w:rsid w:val="00695904"/>
    <w:rsid w:val="006C4533"/>
    <w:rsid w:val="006D7A5E"/>
    <w:rsid w:val="007147DA"/>
    <w:rsid w:val="00720EDC"/>
    <w:rsid w:val="00726E6D"/>
    <w:rsid w:val="007547C4"/>
    <w:rsid w:val="007806A0"/>
    <w:rsid w:val="00786EA7"/>
    <w:rsid w:val="007953DE"/>
    <w:rsid w:val="007D0F4A"/>
    <w:rsid w:val="007D1FCD"/>
    <w:rsid w:val="007E30AC"/>
    <w:rsid w:val="007F1841"/>
    <w:rsid w:val="007F5E04"/>
    <w:rsid w:val="00812EC3"/>
    <w:rsid w:val="0081797A"/>
    <w:rsid w:val="008278BF"/>
    <w:rsid w:val="008610F8"/>
    <w:rsid w:val="008611DD"/>
    <w:rsid w:val="00870C31"/>
    <w:rsid w:val="00896867"/>
    <w:rsid w:val="008A108F"/>
    <w:rsid w:val="008A49B4"/>
    <w:rsid w:val="008E1DB0"/>
    <w:rsid w:val="00913003"/>
    <w:rsid w:val="00913D95"/>
    <w:rsid w:val="00953BD3"/>
    <w:rsid w:val="009657E1"/>
    <w:rsid w:val="00965E68"/>
    <w:rsid w:val="009B201D"/>
    <w:rsid w:val="009E46CA"/>
    <w:rsid w:val="009F6D80"/>
    <w:rsid w:val="00A13EA2"/>
    <w:rsid w:val="00A44F49"/>
    <w:rsid w:val="00A61C6D"/>
    <w:rsid w:val="00A749BB"/>
    <w:rsid w:val="00A7690F"/>
    <w:rsid w:val="00A94935"/>
    <w:rsid w:val="00AA3C70"/>
    <w:rsid w:val="00AA52B5"/>
    <w:rsid w:val="00AA72DA"/>
    <w:rsid w:val="00AC43AF"/>
    <w:rsid w:val="00AC7EC0"/>
    <w:rsid w:val="00AD72D0"/>
    <w:rsid w:val="00AE1D13"/>
    <w:rsid w:val="00AF0F64"/>
    <w:rsid w:val="00B115E2"/>
    <w:rsid w:val="00B15C3D"/>
    <w:rsid w:val="00B32297"/>
    <w:rsid w:val="00B45716"/>
    <w:rsid w:val="00B92A89"/>
    <w:rsid w:val="00B95265"/>
    <w:rsid w:val="00BE46FE"/>
    <w:rsid w:val="00BE5341"/>
    <w:rsid w:val="00BF2EBE"/>
    <w:rsid w:val="00C02F95"/>
    <w:rsid w:val="00C439E1"/>
    <w:rsid w:val="00C51848"/>
    <w:rsid w:val="00C51F3C"/>
    <w:rsid w:val="00C773B2"/>
    <w:rsid w:val="00C87E13"/>
    <w:rsid w:val="00CA6C53"/>
    <w:rsid w:val="00CF119F"/>
    <w:rsid w:val="00CF7D1A"/>
    <w:rsid w:val="00D1614E"/>
    <w:rsid w:val="00D20483"/>
    <w:rsid w:val="00D424E8"/>
    <w:rsid w:val="00D47120"/>
    <w:rsid w:val="00D64741"/>
    <w:rsid w:val="00D94652"/>
    <w:rsid w:val="00DA0E67"/>
    <w:rsid w:val="00DB71E8"/>
    <w:rsid w:val="00DE3DC0"/>
    <w:rsid w:val="00DE525D"/>
    <w:rsid w:val="00E46B90"/>
    <w:rsid w:val="00E47126"/>
    <w:rsid w:val="00E479B9"/>
    <w:rsid w:val="00E522FF"/>
    <w:rsid w:val="00E5557E"/>
    <w:rsid w:val="00E5650A"/>
    <w:rsid w:val="00E6796E"/>
    <w:rsid w:val="00E72825"/>
    <w:rsid w:val="00E854D3"/>
    <w:rsid w:val="00ED7D90"/>
    <w:rsid w:val="00EE764A"/>
    <w:rsid w:val="00F015E4"/>
    <w:rsid w:val="00F0620D"/>
    <w:rsid w:val="00F26EDB"/>
    <w:rsid w:val="00F531A8"/>
    <w:rsid w:val="00F55A18"/>
    <w:rsid w:val="00F704CB"/>
    <w:rsid w:val="00F90CAA"/>
    <w:rsid w:val="00F927C2"/>
    <w:rsid w:val="00FB2047"/>
    <w:rsid w:val="00FD6F14"/>
    <w:rsid w:val="00FE01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66380E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link w:val="Heading2Char"/>
    <w:uiPriority w:val="9"/>
    <w:qFormat/>
    <w:rsid w:val="00E72825"/>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028E8"/>
    <w:rPr>
      <w:rFonts w:ascii="Lucida Grande" w:hAnsi="Lucida Grande"/>
      <w:sz w:val="18"/>
      <w:szCs w:val="18"/>
    </w:rPr>
  </w:style>
  <w:style w:type="character" w:customStyle="1" w:styleId="Heading2Char">
    <w:name w:val="Heading 2 Char"/>
    <w:link w:val="Heading2"/>
    <w:uiPriority w:val="9"/>
    <w:rsid w:val="00E72825"/>
    <w:rPr>
      <w:rFonts w:ascii="Times" w:hAnsi="Times"/>
      <w:b/>
      <w:bCs/>
      <w:sz w:val="36"/>
      <w:szCs w:val="36"/>
    </w:rPr>
  </w:style>
  <w:style w:type="paragraph" w:styleId="NormalWeb">
    <w:name w:val="Normal (Web)"/>
    <w:basedOn w:val="Normal"/>
    <w:uiPriority w:val="99"/>
    <w:semiHidden/>
    <w:unhideWhenUsed/>
    <w:rsid w:val="00E72825"/>
    <w:pPr>
      <w:spacing w:before="100" w:beforeAutospacing="1" w:after="100" w:afterAutospacing="1"/>
    </w:pPr>
    <w:rPr>
      <w:rFonts w:ascii="Times" w:hAnsi="Times"/>
      <w:sz w:val="20"/>
      <w:szCs w:val="20"/>
    </w:rPr>
  </w:style>
  <w:style w:type="character" w:styleId="Hyperlink">
    <w:name w:val="Hyperlink"/>
    <w:uiPriority w:val="99"/>
    <w:unhideWhenUsed/>
    <w:rsid w:val="000C360F"/>
    <w:rPr>
      <w:color w:val="0000FF"/>
      <w:u w:val="single"/>
    </w:rPr>
  </w:style>
  <w:style w:type="paragraph" w:customStyle="1" w:styleId="Default">
    <w:name w:val="Default"/>
    <w:rsid w:val="00695904"/>
    <w:pPr>
      <w:widowControl w:val="0"/>
      <w:autoSpaceDE w:val="0"/>
      <w:autoSpaceDN w:val="0"/>
      <w:adjustRightInd w:val="0"/>
    </w:pPr>
    <w:rPr>
      <w:rFonts w:ascii="Myriad Pro" w:hAnsi="Myriad Pro" w:cs="Myriad Pro"/>
      <w:color w:val="000000"/>
      <w:sz w:val="24"/>
      <w:szCs w:val="24"/>
    </w:rPr>
  </w:style>
  <w:style w:type="paragraph" w:styleId="Header">
    <w:name w:val="header"/>
    <w:basedOn w:val="Normal"/>
    <w:link w:val="HeaderChar"/>
    <w:uiPriority w:val="99"/>
    <w:unhideWhenUsed/>
    <w:rsid w:val="00AC7EC0"/>
    <w:pPr>
      <w:tabs>
        <w:tab w:val="center" w:pos="4320"/>
        <w:tab w:val="right" w:pos="8640"/>
      </w:tabs>
    </w:pPr>
  </w:style>
  <w:style w:type="character" w:customStyle="1" w:styleId="HeaderChar">
    <w:name w:val="Header Char"/>
    <w:basedOn w:val="DefaultParagraphFont"/>
    <w:link w:val="Header"/>
    <w:uiPriority w:val="99"/>
    <w:rsid w:val="00AC7EC0"/>
    <w:rPr>
      <w:sz w:val="24"/>
      <w:szCs w:val="24"/>
    </w:rPr>
  </w:style>
  <w:style w:type="paragraph" w:styleId="Footer">
    <w:name w:val="footer"/>
    <w:basedOn w:val="Normal"/>
    <w:link w:val="FooterChar"/>
    <w:uiPriority w:val="99"/>
    <w:unhideWhenUsed/>
    <w:rsid w:val="00AC7EC0"/>
    <w:pPr>
      <w:tabs>
        <w:tab w:val="center" w:pos="4320"/>
        <w:tab w:val="right" w:pos="8640"/>
      </w:tabs>
    </w:pPr>
  </w:style>
  <w:style w:type="character" w:customStyle="1" w:styleId="FooterChar">
    <w:name w:val="Footer Char"/>
    <w:basedOn w:val="DefaultParagraphFont"/>
    <w:link w:val="Footer"/>
    <w:uiPriority w:val="99"/>
    <w:rsid w:val="00AC7EC0"/>
    <w:rPr>
      <w:sz w:val="24"/>
      <w:szCs w:val="24"/>
    </w:rPr>
  </w:style>
  <w:style w:type="character" w:customStyle="1" w:styleId="highlight">
    <w:name w:val="highlight"/>
    <w:basedOn w:val="DefaultParagraphFont"/>
    <w:rsid w:val="008E1DB0"/>
  </w:style>
  <w:style w:type="paragraph" w:styleId="ListParagraph">
    <w:name w:val="List Paragraph"/>
    <w:basedOn w:val="Normal"/>
    <w:uiPriority w:val="34"/>
    <w:qFormat/>
    <w:rsid w:val="00121F3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link w:val="Heading2Char"/>
    <w:uiPriority w:val="9"/>
    <w:qFormat/>
    <w:rsid w:val="00E72825"/>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028E8"/>
    <w:rPr>
      <w:rFonts w:ascii="Lucida Grande" w:hAnsi="Lucida Grande"/>
      <w:sz w:val="18"/>
      <w:szCs w:val="18"/>
    </w:rPr>
  </w:style>
  <w:style w:type="character" w:customStyle="1" w:styleId="Heading2Char">
    <w:name w:val="Heading 2 Char"/>
    <w:link w:val="Heading2"/>
    <w:uiPriority w:val="9"/>
    <w:rsid w:val="00E72825"/>
    <w:rPr>
      <w:rFonts w:ascii="Times" w:hAnsi="Times"/>
      <w:b/>
      <w:bCs/>
      <w:sz w:val="36"/>
      <w:szCs w:val="36"/>
    </w:rPr>
  </w:style>
  <w:style w:type="paragraph" w:styleId="NormalWeb">
    <w:name w:val="Normal (Web)"/>
    <w:basedOn w:val="Normal"/>
    <w:uiPriority w:val="99"/>
    <w:semiHidden/>
    <w:unhideWhenUsed/>
    <w:rsid w:val="00E72825"/>
    <w:pPr>
      <w:spacing w:before="100" w:beforeAutospacing="1" w:after="100" w:afterAutospacing="1"/>
    </w:pPr>
    <w:rPr>
      <w:rFonts w:ascii="Times" w:hAnsi="Times"/>
      <w:sz w:val="20"/>
      <w:szCs w:val="20"/>
    </w:rPr>
  </w:style>
  <w:style w:type="character" w:styleId="Hyperlink">
    <w:name w:val="Hyperlink"/>
    <w:uiPriority w:val="99"/>
    <w:unhideWhenUsed/>
    <w:rsid w:val="000C360F"/>
    <w:rPr>
      <w:color w:val="0000FF"/>
      <w:u w:val="single"/>
    </w:rPr>
  </w:style>
  <w:style w:type="paragraph" w:customStyle="1" w:styleId="Default">
    <w:name w:val="Default"/>
    <w:rsid w:val="00695904"/>
    <w:pPr>
      <w:widowControl w:val="0"/>
      <w:autoSpaceDE w:val="0"/>
      <w:autoSpaceDN w:val="0"/>
      <w:adjustRightInd w:val="0"/>
    </w:pPr>
    <w:rPr>
      <w:rFonts w:ascii="Myriad Pro" w:hAnsi="Myriad Pro" w:cs="Myriad Pro"/>
      <w:color w:val="000000"/>
      <w:sz w:val="24"/>
      <w:szCs w:val="24"/>
    </w:rPr>
  </w:style>
  <w:style w:type="paragraph" w:styleId="Header">
    <w:name w:val="header"/>
    <w:basedOn w:val="Normal"/>
    <w:link w:val="HeaderChar"/>
    <w:uiPriority w:val="99"/>
    <w:unhideWhenUsed/>
    <w:rsid w:val="00AC7EC0"/>
    <w:pPr>
      <w:tabs>
        <w:tab w:val="center" w:pos="4320"/>
        <w:tab w:val="right" w:pos="8640"/>
      </w:tabs>
    </w:pPr>
  </w:style>
  <w:style w:type="character" w:customStyle="1" w:styleId="HeaderChar">
    <w:name w:val="Header Char"/>
    <w:basedOn w:val="DefaultParagraphFont"/>
    <w:link w:val="Header"/>
    <w:uiPriority w:val="99"/>
    <w:rsid w:val="00AC7EC0"/>
    <w:rPr>
      <w:sz w:val="24"/>
      <w:szCs w:val="24"/>
    </w:rPr>
  </w:style>
  <w:style w:type="paragraph" w:styleId="Footer">
    <w:name w:val="footer"/>
    <w:basedOn w:val="Normal"/>
    <w:link w:val="FooterChar"/>
    <w:uiPriority w:val="99"/>
    <w:unhideWhenUsed/>
    <w:rsid w:val="00AC7EC0"/>
    <w:pPr>
      <w:tabs>
        <w:tab w:val="center" w:pos="4320"/>
        <w:tab w:val="right" w:pos="8640"/>
      </w:tabs>
    </w:pPr>
  </w:style>
  <w:style w:type="character" w:customStyle="1" w:styleId="FooterChar">
    <w:name w:val="Footer Char"/>
    <w:basedOn w:val="DefaultParagraphFont"/>
    <w:link w:val="Footer"/>
    <w:uiPriority w:val="99"/>
    <w:rsid w:val="00AC7EC0"/>
    <w:rPr>
      <w:sz w:val="24"/>
      <w:szCs w:val="24"/>
    </w:rPr>
  </w:style>
  <w:style w:type="character" w:customStyle="1" w:styleId="highlight">
    <w:name w:val="highlight"/>
    <w:basedOn w:val="DefaultParagraphFont"/>
    <w:rsid w:val="008E1DB0"/>
  </w:style>
  <w:style w:type="paragraph" w:styleId="ListParagraph">
    <w:name w:val="List Paragraph"/>
    <w:basedOn w:val="Normal"/>
    <w:uiPriority w:val="34"/>
    <w:qFormat/>
    <w:rsid w:val="00121F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516253">
      <w:bodyDiv w:val="1"/>
      <w:marLeft w:val="0"/>
      <w:marRight w:val="0"/>
      <w:marTop w:val="0"/>
      <w:marBottom w:val="0"/>
      <w:divBdr>
        <w:top w:val="none" w:sz="0" w:space="0" w:color="auto"/>
        <w:left w:val="none" w:sz="0" w:space="0" w:color="auto"/>
        <w:bottom w:val="none" w:sz="0" w:space="0" w:color="auto"/>
        <w:right w:val="none" w:sz="0" w:space="0" w:color="auto"/>
      </w:divBdr>
    </w:div>
    <w:div w:id="793524505">
      <w:bodyDiv w:val="1"/>
      <w:marLeft w:val="0"/>
      <w:marRight w:val="0"/>
      <w:marTop w:val="0"/>
      <w:marBottom w:val="0"/>
      <w:divBdr>
        <w:top w:val="none" w:sz="0" w:space="0" w:color="auto"/>
        <w:left w:val="none" w:sz="0" w:space="0" w:color="auto"/>
        <w:bottom w:val="none" w:sz="0" w:space="0" w:color="auto"/>
        <w:right w:val="none" w:sz="0" w:space="0" w:color="auto"/>
      </w:divBdr>
    </w:div>
    <w:div w:id="1523472182">
      <w:bodyDiv w:val="1"/>
      <w:marLeft w:val="0"/>
      <w:marRight w:val="0"/>
      <w:marTop w:val="0"/>
      <w:marBottom w:val="0"/>
      <w:divBdr>
        <w:top w:val="none" w:sz="0" w:space="0" w:color="auto"/>
        <w:left w:val="none" w:sz="0" w:space="0" w:color="auto"/>
        <w:bottom w:val="none" w:sz="0" w:space="0" w:color="auto"/>
        <w:right w:val="none" w:sz="0" w:space="0" w:color="auto"/>
      </w:divBdr>
      <w:divsChild>
        <w:div w:id="707921592">
          <w:marLeft w:val="0"/>
          <w:marRight w:val="0"/>
          <w:marTop w:val="0"/>
          <w:marBottom w:val="0"/>
          <w:divBdr>
            <w:top w:val="none" w:sz="0" w:space="0" w:color="auto"/>
            <w:left w:val="none" w:sz="0" w:space="0" w:color="auto"/>
            <w:bottom w:val="none" w:sz="0" w:space="0" w:color="auto"/>
            <w:right w:val="none" w:sz="0" w:space="0" w:color="auto"/>
          </w:divBdr>
          <w:divsChild>
            <w:div w:id="357509638">
              <w:marLeft w:val="0"/>
              <w:marRight w:val="0"/>
              <w:marTop w:val="0"/>
              <w:marBottom w:val="0"/>
              <w:divBdr>
                <w:top w:val="none" w:sz="0" w:space="0" w:color="auto"/>
                <w:left w:val="none" w:sz="0" w:space="0" w:color="auto"/>
                <w:bottom w:val="none" w:sz="0" w:space="0" w:color="auto"/>
                <w:right w:val="none" w:sz="0" w:space="0" w:color="auto"/>
              </w:divBdr>
            </w:div>
          </w:divsChild>
        </w:div>
        <w:div w:id="1311866744">
          <w:marLeft w:val="0"/>
          <w:marRight w:val="0"/>
          <w:marTop w:val="0"/>
          <w:marBottom w:val="0"/>
          <w:divBdr>
            <w:top w:val="none" w:sz="0" w:space="0" w:color="auto"/>
            <w:left w:val="none" w:sz="0" w:space="0" w:color="auto"/>
            <w:bottom w:val="none" w:sz="0" w:space="0" w:color="auto"/>
            <w:right w:val="none" w:sz="0" w:space="0" w:color="auto"/>
          </w:divBdr>
          <w:divsChild>
            <w:div w:id="1247227569">
              <w:marLeft w:val="0"/>
              <w:marRight w:val="0"/>
              <w:marTop w:val="0"/>
              <w:marBottom w:val="0"/>
              <w:divBdr>
                <w:top w:val="none" w:sz="0" w:space="0" w:color="auto"/>
                <w:left w:val="none" w:sz="0" w:space="0" w:color="auto"/>
                <w:bottom w:val="none" w:sz="0" w:space="0" w:color="auto"/>
                <w:right w:val="none" w:sz="0" w:space="0" w:color="auto"/>
              </w:divBdr>
            </w:div>
          </w:divsChild>
        </w:div>
        <w:div w:id="147621500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970</Words>
  <Characters>5535</Characters>
  <Application>Microsoft Macintosh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6493</CharactersWithSpaces>
  <SharedDoc>false</SharedDoc>
  <HLinks>
    <vt:vector size="6" baseType="variant">
      <vt:variant>
        <vt:i4>7078007</vt:i4>
      </vt:variant>
      <vt:variant>
        <vt:i4>0</vt:i4>
      </vt:variant>
      <vt:variant>
        <vt:i4>0</vt:i4>
      </vt:variant>
      <vt:variant>
        <vt:i4>5</vt:i4>
      </vt:variant>
      <vt:variant>
        <vt:lpwstr>http://www.genome.jp/kegg/pathway.html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Runstadler</dc:creator>
  <cp:keywords/>
  <cp:lastModifiedBy>Jonathan Runstadler</cp:lastModifiedBy>
  <cp:revision>5</cp:revision>
  <cp:lastPrinted>2014-02-25T15:39:00Z</cp:lastPrinted>
  <dcterms:created xsi:type="dcterms:W3CDTF">2014-02-25T15:21:00Z</dcterms:created>
  <dcterms:modified xsi:type="dcterms:W3CDTF">2014-02-25T15:45:00Z</dcterms:modified>
</cp:coreProperties>
</file>