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xlsx" ContentType="application/vnd.openxmlformats-officedocument.spreadsheetml.sheet"/>
  <Default Extension="jpeg" ContentType="image/jpeg"/>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C65D8" w:rsidRPr="00AA1C60" w:rsidRDefault="001C65D8" w:rsidP="001C65D8">
      <w:pPr>
        <w:spacing w:line="480" w:lineRule="auto"/>
        <w:rPr>
          <w:rFonts w:ascii="Times New Roman" w:hAnsi="Times New Roman"/>
        </w:rPr>
      </w:pPr>
      <w:r w:rsidRPr="00AA1C60">
        <w:rPr>
          <w:rFonts w:ascii="Times New Roman" w:hAnsi="Times New Roman"/>
        </w:rPr>
        <w:t xml:space="preserve"> Michelle Blemker </w:t>
      </w:r>
    </w:p>
    <w:p w:rsidR="001C65D8" w:rsidRPr="00AA1C60" w:rsidRDefault="001C65D8" w:rsidP="001C65D8">
      <w:pPr>
        <w:spacing w:line="480" w:lineRule="auto"/>
        <w:rPr>
          <w:rFonts w:ascii="Times New Roman" w:hAnsi="Times New Roman"/>
        </w:rPr>
      </w:pPr>
      <w:r w:rsidRPr="00AA1C60">
        <w:rPr>
          <w:rFonts w:ascii="Times New Roman" w:hAnsi="Times New Roman"/>
        </w:rPr>
        <w:t xml:space="preserve">Christopher Rhodes </w:t>
      </w:r>
    </w:p>
    <w:p w:rsidR="003F4358" w:rsidRPr="00AA1C60" w:rsidRDefault="001C65D8" w:rsidP="001C65D8">
      <w:pPr>
        <w:spacing w:line="480" w:lineRule="auto"/>
        <w:rPr>
          <w:rFonts w:ascii="Times New Roman" w:hAnsi="Times New Roman"/>
        </w:rPr>
      </w:pPr>
      <w:r w:rsidRPr="00AA1C60">
        <w:rPr>
          <w:rFonts w:ascii="Times New Roman" w:hAnsi="Times New Roman"/>
        </w:rPr>
        <w:t>April 27, 2011</w:t>
      </w:r>
    </w:p>
    <w:p w:rsidR="001C65D8" w:rsidRPr="00AA1C60" w:rsidRDefault="001C65D8" w:rsidP="001C65D8">
      <w:pPr>
        <w:spacing w:line="480" w:lineRule="auto"/>
        <w:rPr>
          <w:rFonts w:ascii="Times New Roman" w:hAnsi="Times New Roman"/>
        </w:rPr>
      </w:pPr>
    </w:p>
    <w:p w:rsidR="00AA1C60" w:rsidRDefault="001C65D8" w:rsidP="001C65D8">
      <w:pPr>
        <w:spacing w:line="480" w:lineRule="auto"/>
        <w:jc w:val="center"/>
        <w:rPr>
          <w:rFonts w:ascii="Times New Roman" w:hAnsi="Times New Roman"/>
          <w:sz w:val="32"/>
        </w:rPr>
      </w:pPr>
      <w:r w:rsidRPr="00AA1C60">
        <w:rPr>
          <w:rFonts w:ascii="Times New Roman" w:hAnsi="Times New Roman"/>
          <w:sz w:val="32"/>
        </w:rPr>
        <w:t xml:space="preserve">Analysis of the 4.3 </w:t>
      </w:r>
      <w:proofErr w:type="gramStart"/>
      <w:r w:rsidRPr="00AA1C60">
        <w:rPr>
          <w:rFonts w:ascii="Times New Roman" w:hAnsi="Times New Roman"/>
          <w:sz w:val="32"/>
        </w:rPr>
        <w:t>kb</w:t>
      </w:r>
      <w:proofErr w:type="gramEnd"/>
      <w:r w:rsidRPr="00AA1C60">
        <w:rPr>
          <w:rFonts w:ascii="Times New Roman" w:hAnsi="Times New Roman"/>
          <w:sz w:val="32"/>
        </w:rPr>
        <w:t xml:space="preserve"> Region of </w:t>
      </w:r>
      <w:proofErr w:type="spellStart"/>
      <w:r w:rsidRPr="00AA1C60">
        <w:rPr>
          <w:rFonts w:ascii="Times New Roman" w:hAnsi="Times New Roman"/>
          <w:sz w:val="32"/>
        </w:rPr>
        <w:t>Mycobacteriophage</w:t>
      </w:r>
      <w:proofErr w:type="spellEnd"/>
      <w:r w:rsidRPr="00AA1C60">
        <w:rPr>
          <w:rFonts w:ascii="Times New Roman" w:hAnsi="Times New Roman"/>
          <w:sz w:val="32"/>
        </w:rPr>
        <w:t xml:space="preserve"> </w:t>
      </w:r>
      <w:proofErr w:type="spellStart"/>
      <w:r w:rsidRPr="00AA1C60">
        <w:rPr>
          <w:rFonts w:ascii="Times New Roman" w:hAnsi="Times New Roman"/>
          <w:sz w:val="32"/>
        </w:rPr>
        <w:t>HelDan</w:t>
      </w:r>
      <w:proofErr w:type="spellEnd"/>
    </w:p>
    <w:p w:rsidR="001C65D8" w:rsidRPr="00AA1C60" w:rsidRDefault="001C65D8" w:rsidP="001C65D8">
      <w:pPr>
        <w:spacing w:line="480" w:lineRule="auto"/>
        <w:jc w:val="center"/>
        <w:rPr>
          <w:rFonts w:ascii="Times New Roman" w:hAnsi="Times New Roman"/>
          <w:sz w:val="32"/>
        </w:rPr>
      </w:pPr>
    </w:p>
    <w:p w:rsidR="001C65D8" w:rsidRPr="00AA1C60" w:rsidRDefault="001C65D8" w:rsidP="001C65D8">
      <w:pPr>
        <w:spacing w:line="480" w:lineRule="auto"/>
        <w:rPr>
          <w:rFonts w:ascii="Times New Roman" w:hAnsi="Times New Roman"/>
          <w:b/>
          <w:sz w:val="28"/>
        </w:rPr>
      </w:pPr>
      <w:r w:rsidRPr="00AA1C60">
        <w:rPr>
          <w:rFonts w:ascii="Times New Roman" w:hAnsi="Times New Roman"/>
          <w:b/>
          <w:sz w:val="28"/>
        </w:rPr>
        <w:t xml:space="preserve">Introduction: </w:t>
      </w:r>
    </w:p>
    <w:p w:rsidR="00236EF0" w:rsidRDefault="0010080A" w:rsidP="003F4358">
      <w:pPr>
        <w:spacing w:line="480" w:lineRule="auto"/>
        <w:rPr>
          <w:rFonts w:ascii="Times New Roman" w:hAnsi="Times New Roman"/>
        </w:rPr>
      </w:pPr>
      <w:proofErr w:type="spellStart"/>
      <w:r w:rsidRPr="00AA1C60">
        <w:rPr>
          <w:rFonts w:ascii="Times New Roman" w:hAnsi="Times New Roman"/>
        </w:rPr>
        <w:t>Bacteriophages</w:t>
      </w:r>
      <w:proofErr w:type="spellEnd"/>
      <w:r w:rsidRPr="00AA1C60">
        <w:rPr>
          <w:rFonts w:ascii="Times New Roman" w:hAnsi="Times New Roman"/>
        </w:rPr>
        <w:t xml:space="preserve"> are</w:t>
      </w:r>
      <w:r w:rsidR="001C65D8" w:rsidRPr="00AA1C60">
        <w:rPr>
          <w:rFonts w:ascii="Times New Roman" w:hAnsi="Times New Roman"/>
        </w:rPr>
        <w:t xml:space="preserve"> the most abund</w:t>
      </w:r>
      <w:r w:rsidRPr="00AA1C60">
        <w:rPr>
          <w:rFonts w:ascii="Times New Roman" w:hAnsi="Times New Roman"/>
        </w:rPr>
        <w:t>ant living entity on the planet</w:t>
      </w:r>
      <w:r w:rsidR="001C65D8" w:rsidRPr="00AA1C60">
        <w:rPr>
          <w:rFonts w:ascii="Times New Roman" w:hAnsi="Times New Roman"/>
        </w:rPr>
        <w:t>. Scientists who have studied bacteriophage theorize them to have numerous possible medical and biological applications for the future, as well as be a key component to bacterial evolution</w:t>
      </w:r>
      <w:r w:rsidRPr="00AA1C60">
        <w:rPr>
          <w:rFonts w:ascii="Times New Roman" w:hAnsi="Times New Roman"/>
        </w:rPr>
        <w:t>; however, they have not attracted much scientific scrutiny</w:t>
      </w:r>
      <w:r w:rsidR="001C65D8" w:rsidRPr="00AA1C60">
        <w:rPr>
          <w:rFonts w:ascii="Times New Roman" w:hAnsi="Times New Roman"/>
        </w:rPr>
        <w:t xml:space="preserve">. To contribute to an understanding of the diversity of </w:t>
      </w:r>
      <w:proofErr w:type="spellStart"/>
      <w:r w:rsidR="001C65D8" w:rsidRPr="00AA1C60">
        <w:rPr>
          <w:rFonts w:ascii="Times New Roman" w:hAnsi="Times New Roman"/>
        </w:rPr>
        <w:t>mycobacteriophage</w:t>
      </w:r>
      <w:proofErr w:type="spellEnd"/>
      <w:r w:rsidR="001C65D8" w:rsidRPr="00AA1C60">
        <w:rPr>
          <w:rFonts w:ascii="Times New Roman" w:hAnsi="Times New Roman"/>
        </w:rPr>
        <w:t xml:space="preserve"> in the environment, we have begun to collect, isolate, and analyze </w:t>
      </w:r>
      <w:proofErr w:type="spellStart"/>
      <w:r w:rsidR="001C65D8" w:rsidRPr="00AA1C60">
        <w:rPr>
          <w:rFonts w:ascii="Times New Roman" w:hAnsi="Times New Roman"/>
        </w:rPr>
        <w:t>mycobacteriop</w:t>
      </w:r>
      <w:r w:rsidR="00236EF0">
        <w:rPr>
          <w:rFonts w:ascii="Times New Roman" w:hAnsi="Times New Roman"/>
        </w:rPr>
        <w:t>hage</w:t>
      </w:r>
      <w:proofErr w:type="spellEnd"/>
      <w:r w:rsidR="00236EF0">
        <w:rPr>
          <w:rFonts w:ascii="Times New Roman" w:hAnsi="Times New Roman"/>
        </w:rPr>
        <w:t xml:space="preserve"> from the </w:t>
      </w:r>
      <w:proofErr w:type="spellStart"/>
      <w:r w:rsidR="00236EF0">
        <w:rPr>
          <w:rFonts w:ascii="Times New Roman" w:hAnsi="Times New Roman"/>
        </w:rPr>
        <w:t>Ballona</w:t>
      </w:r>
      <w:proofErr w:type="spellEnd"/>
      <w:r w:rsidR="00236EF0">
        <w:rPr>
          <w:rFonts w:ascii="Times New Roman" w:hAnsi="Times New Roman"/>
        </w:rPr>
        <w:t xml:space="preserve"> Wetlands as part of the HHMI Phage Discovery Project.</w:t>
      </w:r>
    </w:p>
    <w:p w:rsidR="00236EF0" w:rsidRDefault="00236EF0" w:rsidP="003F4358">
      <w:pPr>
        <w:spacing w:line="480" w:lineRule="auto"/>
        <w:rPr>
          <w:rFonts w:ascii="Times New Roman" w:hAnsi="Times New Roman"/>
        </w:rPr>
      </w:pPr>
      <w:r>
        <w:rPr>
          <w:rFonts w:ascii="Times New Roman" w:hAnsi="Times New Roman"/>
        </w:rPr>
        <w:t xml:space="preserve">Of the phage genomes collected and sequenced during our research in the Discovery lab the one we found most intriguing and the focus of this paper was the phage </w:t>
      </w:r>
      <w:proofErr w:type="spellStart"/>
      <w:r>
        <w:rPr>
          <w:rFonts w:ascii="Times New Roman" w:hAnsi="Times New Roman"/>
        </w:rPr>
        <w:t>HelDan</w:t>
      </w:r>
      <w:proofErr w:type="spellEnd"/>
      <w:r>
        <w:rPr>
          <w:rFonts w:ascii="Times New Roman" w:hAnsi="Times New Roman"/>
        </w:rPr>
        <w:t xml:space="preserve">. During it’s sequencing, the </w:t>
      </w:r>
      <w:proofErr w:type="spellStart"/>
      <w:r>
        <w:rPr>
          <w:rFonts w:ascii="Times New Roman" w:hAnsi="Times New Roman"/>
        </w:rPr>
        <w:t>HelDan</w:t>
      </w:r>
      <w:proofErr w:type="spellEnd"/>
      <w:r>
        <w:rPr>
          <w:rFonts w:ascii="Times New Roman" w:hAnsi="Times New Roman"/>
        </w:rPr>
        <w:t xml:space="preserve"> genome presented with a genomic anomaly in which a 50:50 ratio of two separate genome sequences was collected: one at a length of 46 kb, named </w:t>
      </w:r>
      <w:proofErr w:type="spellStart"/>
      <w:r>
        <w:rPr>
          <w:rFonts w:ascii="Times New Roman" w:hAnsi="Times New Roman"/>
        </w:rPr>
        <w:t>HelDan</w:t>
      </w:r>
      <w:proofErr w:type="spellEnd"/>
      <w:r>
        <w:rPr>
          <w:rFonts w:ascii="Times New Roman" w:hAnsi="Times New Roman"/>
        </w:rPr>
        <w:t xml:space="preserve"> Short (HDS), and the other at a length of 50 kb, named </w:t>
      </w:r>
      <w:proofErr w:type="spellStart"/>
      <w:r>
        <w:rPr>
          <w:rFonts w:ascii="Times New Roman" w:hAnsi="Times New Roman"/>
        </w:rPr>
        <w:t>HelDan</w:t>
      </w:r>
      <w:proofErr w:type="spellEnd"/>
      <w:r>
        <w:rPr>
          <w:rFonts w:ascii="Times New Roman" w:hAnsi="Times New Roman"/>
        </w:rPr>
        <w:t xml:space="preserve"> Long (HDL). Though initially thought to be contamination, after further investigation it was found that the two genomes shared 100% sequence similarity across their entire genomes except for a 4.3 </w:t>
      </w:r>
      <w:proofErr w:type="gramStart"/>
      <w:r>
        <w:rPr>
          <w:rFonts w:ascii="Times New Roman" w:hAnsi="Times New Roman"/>
        </w:rPr>
        <w:t>kb</w:t>
      </w:r>
      <w:proofErr w:type="gramEnd"/>
      <w:r>
        <w:rPr>
          <w:rFonts w:ascii="Times New Roman" w:hAnsi="Times New Roman"/>
        </w:rPr>
        <w:t xml:space="preserve"> region located on the HDL genome which shared zero sequence similarity. Due to the immense similarity between the two sequences it was concluded that the two genomes were highly related to each other and </w:t>
      </w:r>
    </w:p>
    <w:p w:rsidR="003F4358" w:rsidRPr="00AA1C60" w:rsidRDefault="003F4358" w:rsidP="003F4358">
      <w:pPr>
        <w:spacing w:line="480" w:lineRule="auto"/>
        <w:rPr>
          <w:rFonts w:ascii="Times New Roman" w:hAnsi="Times New Roman"/>
        </w:rPr>
      </w:pPr>
    </w:p>
    <w:p w:rsidR="0010080A" w:rsidRPr="00AA1C60" w:rsidRDefault="0010080A" w:rsidP="0010080A">
      <w:pPr>
        <w:spacing w:line="480" w:lineRule="auto"/>
        <w:ind w:firstLine="720"/>
        <w:rPr>
          <w:rFonts w:ascii="Times New Roman" w:hAnsi="Times New Roman"/>
        </w:rPr>
      </w:pPr>
    </w:p>
    <w:p w:rsidR="00A0095C" w:rsidRPr="00AA1C60" w:rsidRDefault="0012689A" w:rsidP="001C65D8">
      <w:pPr>
        <w:spacing w:line="480" w:lineRule="auto"/>
        <w:rPr>
          <w:rFonts w:ascii="Times New Roman" w:hAnsi="Times New Roman"/>
          <w:b/>
          <w:sz w:val="28"/>
        </w:rPr>
      </w:pPr>
      <w:r w:rsidRPr="00AA1C60">
        <w:rPr>
          <w:rFonts w:ascii="Times New Roman" w:hAnsi="Times New Roman"/>
          <w:b/>
          <w:sz w:val="28"/>
        </w:rPr>
        <w:t xml:space="preserve">Materials and Methods: </w:t>
      </w:r>
    </w:p>
    <w:p w:rsidR="00AA1C60" w:rsidRDefault="00A0095C" w:rsidP="003F4358">
      <w:pPr>
        <w:spacing w:line="480" w:lineRule="auto"/>
        <w:rPr>
          <w:rFonts w:ascii="Times New Roman" w:hAnsi="Times New Roman"/>
        </w:rPr>
      </w:pPr>
      <w:r w:rsidRPr="00AA1C60">
        <w:rPr>
          <w:rFonts w:ascii="Times New Roman" w:hAnsi="Times New Roman"/>
        </w:rPr>
        <w:t>The most commonly used resource in our analysis is blast. It was used to compare DNA sequences and amino sequences against other Mycobacteriophages and helped determine the function of some genes.</w:t>
      </w:r>
      <w:r w:rsidR="00A4727F" w:rsidRPr="00AA1C60">
        <w:rPr>
          <w:rFonts w:ascii="Times New Roman" w:hAnsi="Times New Roman"/>
        </w:rPr>
        <w:t xml:space="preserve"> The application Apollo was used to incorporate all of our genomic annotations of HelDan Long. </w:t>
      </w:r>
      <w:r w:rsidRPr="00AA1C60">
        <w:rPr>
          <w:rFonts w:ascii="Times New Roman" w:hAnsi="Times New Roman"/>
        </w:rPr>
        <w:t xml:space="preserve"> Another resource used was </w:t>
      </w:r>
      <w:proofErr w:type="spellStart"/>
      <w:r w:rsidRPr="00AA1C60">
        <w:rPr>
          <w:rFonts w:ascii="Times New Roman" w:hAnsi="Times New Roman"/>
        </w:rPr>
        <w:t>Phamerator</w:t>
      </w:r>
      <w:proofErr w:type="spellEnd"/>
      <w:r w:rsidRPr="00AA1C60">
        <w:rPr>
          <w:rFonts w:ascii="Times New Roman" w:hAnsi="Times New Roman"/>
        </w:rPr>
        <w:t xml:space="preserve">. This helped us compare nucleotide and predicted gene sequences side by side, </w:t>
      </w:r>
      <w:r w:rsidR="009B5107" w:rsidRPr="00AA1C60">
        <w:rPr>
          <w:rFonts w:ascii="Times New Roman" w:hAnsi="Times New Roman"/>
        </w:rPr>
        <w:t xml:space="preserve">and also determine evolutionary divergences. </w:t>
      </w:r>
    </w:p>
    <w:p w:rsidR="00A0095C" w:rsidRPr="00AA1C60" w:rsidRDefault="00A0095C" w:rsidP="003F4358">
      <w:pPr>
        <w:spacing w:line="480" w:lineRule="auto"/>
        <w:rPr>
          <w:rFonts w:ascii="Times New Roman" w:hAnsi="Times New Roman"/>
        </w:rPr>
      </w:pPr>
    </w:p>
    <w:p w:rsidR="009B5107" w:rsidRPr="00AA1C60" w:rsidRDefault="0012689A" w:rsidP="001C65D8">
      <w:pPr>
        <w:spacing w:line="480" w:lineRule="auto"/>
        <w:rPr>
          <w:rFonts w:ascii="Times New Roman" w:hAnsi="Times New Roman"/>
          <w:b/>
          <w:sz w:val="28"/>
        </w:rPr>
      </w:pPr>
      <w:r w:rsidRPr="00AA1C60">
        <w:rPr>
          <w:rFonts w:ascii="Times New Roman" w:hAnsi="Times New Roman"/>
          <w:b/>
          <w:sz w:val="28"/>
        </w:rPr>
        <w:t xml:space="preserve">Results: </w:t>
      </w:r>
    </w:p>
    <w:p w:rsidR="00A403B8" w:rsidRPr="00AA1C60" w:rsidRDefault="009B5107" w:rsidP="001C65D8">
      <w:pPr>
        <w:spacing w:line="480" w:lineRule="auto"/>
        <w:rPr>
          <w:rFonts w:ascii="Times New Roman" w:hAnsi="Times New Roman"/>
        </w:rPr>
      </w:pPr>
      <w:r w:rsidRPr="00AA1C60">
        <w:rPr>
          <w:rFonts w:ascii="Times New Roman" w:hAnsi="Times New Roman"/>
        </w:rPr>
        <w:t xml:space="preserve">From the beginning, we determined </w:t>
      </w:r>
      <w:r w:rsidR="00D340DD" w:rsidRPr="00AA1C60">
        <w:rPr>
          <w:rFonts w:ascii="Times New Roman" w:hAnsi="Times New Roman"/>
        </w:rPr>
        <w:t xml:space="preserve">through the use of </w:t>
      </w:r>
      <w:proofErr w:type="spellStart"/>
      <w:r w:rsidR="00D340DD" w:rsidRPr="00AA1C60">
        <w:rPr>
          <w:rFonts w:ascii="Times New Roman" w:hAnsi="Times New Roman"/>
        </w:rPr>
        <w:t>blastn</w:t>
      </w:r>
      <w:proofErr w:type="spellEnd"/>
      <w:r w:rsidR="00D340DD" w:rsidRPr="00AA1C60">
        <w:rPr>
          <w:rFonts w:ascii="Times New Roman" w:hAnsi="Times New Roman"/>
        </w:rPr>
        <w:t xml:space="preserve"> </w:t>
      </w:r>
      <w:r w:rsidRPr="00AA1C60">
        <w:rPr>
          <w:rFonts w:ascii="Times New Roman" w:hAnsi="Times New Roman"/>
        </w:rPr>
        <w:t xml:space="preserve">that the added 4.3 </w:t>
      </w:r>
      <w:proofErr w:type="spellStart"/>
      <w:r w:rsidRPr="00AA1C60">
        <w:rPr>
          <w:rFonts w:ascii="Times New Roman" w:hAnsi="Times New Roman"/>
        </w:rPr>
        <w:t>kbp</w:t>
      </w:r>
      <w:proofErr w:type="spellEnd"/>
      <w:r w:rsidRPr="00AA1C60">
        <w:rPr>
          <w:rFonts w:ascii="Times New Roman" w:hAnsi="Times New Roman"/>
        </w:rPr>
        <w:t xml:space="preserve"> sequence did not related to any genes in </w:t>
      </w:r>
      <w:r w:rsidR="00D340DD" w:rsidRPr="00AA1C60">
        <w:rPr>
          <w:rFonts w:ascii="Times New Roman" w:hAnsi="Times New Roman"/>
        </w:rPr>
        <w:t>M. Smegmatis, the host bacteria</w:t>
      </w:r>
      <w:r w:rsidRPr="00AA1C60">
        <w:rPr>
          <w:rFonts w:ascii="Times New Roman" w:hAnsi="Times New Roman"/>
        </w:rPr>
        <w:t xml:space="preserve">. Secondly, we determined that the 4.3 </w:t>
      </w:r>
      <w:proofErr w:type="gramStart"/>
      <w:r w:rsidRPr="00AA1C60">
        <w:rPr>
          <w:rFonts w:ascii="Times New Roman" w:hAnsi="Times New Roman"/>
        </w:rPr>
        <w:t>region</w:t>
      </w:r>
      <w:proofErr w:type="gramEnd"/>
      <w:r w:rsidRPr="00AA1C60">
        <w:rPr>
          <w:rFonts w:ascii="Times New Roman" w:hAnsi="Times New Roman"/>
        </w:rPr>
        <w:t xml:space="preserve"> did not match any one specific</w:t>
      </w:r>
      <w:r w:rsidR="003F4358" w:rsidRPr="00AA1C60">
        <w:rPr>
          <w:rFonts w:ascii="Times New Roman" w:hAnsi="Times New Roman"/>
        </w:rPr>
        <w:t xml:space="preserve"> </w:t>
      </w:r>
      <w:r w:rsidRPr="00AA1C60">
        <w:rPr>
          <w:rFonts w:ascii="Times New Roman" w:hAnsi="Times New Roman"/>
        </w:rPr>
        <w:t xml:space="preserve">phage’s </w:t>
      </w:r>
      <w:r w:rsidR="00E42FCB" w:rsidRPr="00AA1C60">
        <w:rPr>
          <w:rFonts w:ascii="Times New Roman" w:hAnsi="Times New Roman"/>
        </w:rPr>
        <w:t>genome (Figure 1).</w:t>
      </w:r>
      <w:r w:rsidR="00D340DD" w:rsidRPr="00AA1C60">
        <w:rPr>
          <w:rFonts w:ascii="Times New Roman" w:hAnsi="Times New Roman"/>
        </w:rPr>
        <w:t xml:space="preserve"> The sequence matched a combination of different phages in differing </w:t>
      </w:r>
      <w:proofErr w:type="spellStart"/>
      <w:r w:rsidR="00AA1C60" w:rsidRPr="00AA1C60">
        <w:rPr>
          <w:rFonts w:ascii="Times New Roman" w:hAnsi="Times New Roman"/>
        </w:rPr>
        <w:t>sub</w:t>
      </w:r>
      <w:r w:rsidR="00D340DD" w:rsidRPr="00AA1C60">
        <w:rPr>
          <w:rFonts w:ascii="Times New Roman" w:hAnsi="Times New Roman"/>
        </w:rPr>
        <w:t>c</w:t>
      </w:r>
      <w:r w:rsidR="00AA1C60" w:rsidRPr="00AA1C60">
        <w:rPr>
          <w:rFonts w:ascii="Times New Roman" w:hAnsi="Times New Roman"/>
        </w:rPr>
        <w:t>lusters</w:t>
      </w:r>
      <w:proofErr w:type="spellEnd"/>
      <w:r w:rsidR="00AA1C60" w:rsidRPr="00AA1C60">
        <w:rPr>
          <w:rFonts w:ascii="Times New Roman" w:hAnsi="Times New Roman"/>
        </w:rPr>
        <w:t xml:space="preserve">, but all belong to cluster A. </w:t>
      </w:r>
      <w:r w:rsidR="00D340DD" w:rsidRPr="00AA1C60">
        <w:rPr>
          <w:rFonts w:ascii="Times New Roman" w:hAnsi="Times New Roman"/>
        </w:rPr>
        <w:t xml:space="preserve"> </w:t>
      </w:r>
    </w:p>
    <w:p w:rsidR="00D168BD" w:rsidRPr="00AA1C60" w:rsidRDefault="00D168BD" w:rsidP="001C65D8">
      <w:pPr>
        <w:spacing w:line="480" w:lineRule="auto"/>
        <w:rPr>
          <w:rFonts w:ascii="Times New Roman" w:hAnsi="Times New Roman"/>
        </w:rPr>
      </w:pPr>
    </w:p>
    <w:p w:rsidR="00AA1C60" w:rsidRPr="00AA1C60" w:rsidRDefault="00E42FCB" w:rsidP="00AA1C60">
      <w:pPr>
        <w:spacing w:line="480" w:lineRule="auto"/>
        <w:rPr>
          <w:rFonts w:ascii="Times New Roman" w:hAnsi="Times New Roman"/>
        </w:rPr>
      </w:pPr>
      <w:r w:rsidRPr="00AA1C60">
        <w:rPr>
          <w:rFonts w:ascii="Times New Roman" w:hAnsi="Times New Roman"/>
        </w:rPr>
        <w:t xml:space="preserve">Also, </w:t>
      </w:r>
      <w:r w:rsidR="00E224AD" w:rsidRPr="00AA1C60">
        <w:rPr>
          <w:rFonts w:ascii="Times New Roman" w:hAnsi="Times New Roman"/>
        </w:rPr>
        <w:t>it was discovered that gene 69 in HelDan Long matched a transcription regulator comparable to Mycobacteriophages Peaches, Eagle, and Shaka. It is the only gene in the region with a known function, and acts as an HTH regulator that binds to a stoperator sequence and prevents phages of similar genomics from</w:t>
      </w:r>
      <w:r w:rsidR="00A403B8" w:rsidRPr="00AA1C60">
        <w:rPr>
          <w:rFonts w:ascii="Times New Roman" w:hAnsi="Times New Roman"/>
        </w:rPr>
        <w:t xml:space="preserve"> </w:t>
      </w:r>
      <w:r w:rsidR="00E224AD" w:rsidRPr="00AA1C60">
        <w:rPr>
          <w:rFonts w:ascii="Times New Roman" w:hAnsi="Times New Roman"/>
        </w:rPr>
        <w:t>being</w:t>
      </w:r>
      <w:r w:rsidR="00A403B8" w:rsidRPr="00AA1C60">
        <w:rPr>
          <w:rFonts w:ascii="Times New Roman" w:hAnsi="Times New Roman"/>
        </w:rPr>
        <w:t xml:space="preserve"> </w:t>
      </w:r>
      <w:r w:rsidR="00E224AD" w:rsidRPr="00AA1C60">
        <w:rPr>
          <w:rFonts w:ascii="Times New Roman" w:hAnsi="Times New Roman"/>
        </w:rPr>
        <w:t xml:space="preserve">expressed if superinfection occurs. </w:t>
      </w:r>
      <w:r w:rsidR="00AA1C60" w:rsidRPr="00AA1C60">
        <w:rPr>
          <w:rFonts w:ascii="Times New Roman" w:hAnsi="Times New Roman"/>
        </w:rPr>
        <w:t xml:space="preserve">Before and after the 4.3 </w:t>
      </w:r>
      <w:proofErr w:type="spellStart"/>
      <w:r w:rsidR="00AA1C60" w:rsidRPr="00AA1C60">
        <w:rPr>
          <w:rFonts w:ascii="Times New Roman" w:hAnsi="Times New Roman"/>
        </w:rPr>
        <w:t>kbp</w:t>
      </w:r>
      <w:proofErr w:type="spellEnd"/>
      <w:r w:rsidR="00AA1C60" w:rsidRPr="00AA1C60">
        <w:rPr>
          <w:rFonts w:ascii="Times New Roman" w:hAnsi="Times New Roman"/>
        </w:rPr>
        <w:t xml:space="preserve"> insertion there is a 9 </w:t>
      </w:r>
      <w:proofErr w:type="spellStart"/>
      <w:r w:rsidR="00AA1C60" w:rsidRPr="00AA1C60">
        <w:rPr>
          <w:rFonts w:ascii="Times New Roman" w:hAnsi="Times New Roman"/>
        </w:rPr>
        <w:t>bp</w:t>
      </w:r>
      <w:proofErr w:type="spellEnd"/>
      <w:r w:rsidR="00AA1C60" w:rsidRPr="00AA1C60">
        <w:rPr>
          <w:rFonts w:ascii="Times New Roman" w:hAnsi="Times New Roman"/>
        </w:rPr>
        <w:t xml:space="preserve"> direct repeat; meaning there is a nine base pair sequence (GGCGCGAAG) before and after the start and end of the added sequence. Through further analysis we discovered that this sequence is only present once in the region of HelDan Short. This sequence could serve as markers for the 4.3 </w:t>
      </w:r>
      <w:proofErr w:type="gramStart"/>
      <w:r w:rsidR="00AA1C60" w:rsidRPr="00AA1C60">
        <w:rPr>
          <w:rFonts w:ascii="Times New Roman" w:hAnsi="Times New Roman"/>
        </w:rPr>
        <w:t>sequence</w:t>
      </w:r>
      <w:proofErr w:type="gramEnd"/>
      <w:r w:rsidR="00AA1C60" w:rsidRPr="00AA1C60">
        <w:rPr>
          <w:rFonts w:ascii="Times New Roman" w:hAnsi="Times New Roman"/>
        </w:rPr>
        <w:t xml:space="preserve">. </w:t>
      </w:r>
    </w:p>
    <w:p w:rsidR="00A403B8" w:rsidRPr="00AA1C60" w:rsidRDefault="00A403B8" w:rsidP="001C65D8">
      <w:pPr>
        <w:spacing w:line="480" w:lineRule="auto"/>
        <w:rPr>
          <w:rFonts w:ascii="Times New Roman" w:hAnsi="Times New Roman"/>
        </w:rPr>
      </w:pPr>
    </w:p>
    <w:p w:rsidR="00E224AD" w:rsidRPr="00AA1C60" w:rsidRDefault="002203F9" w:rsidP="001C65D8">
      <w:pPr>
        <w:spacing w:line="480" w:lineRule="auto"/>
        <w:rPr>
          <w:rFonts w:ascii="Times New Roman" w:hAnsi="Times New Roman"/>
        </w:rPr>
      </w:pPr>
      <w:r>
        <w:rPr>
          <w:rFonts w:ascii="Times New Roman" w:hAnsi="Times New Roman"/>
          <w:noProof/>
        </w:rPr>
        <w:pict>
          <v:shapetype id="_x0000_t202" coordsize="21600,21600" o:spt="202" path="m0,0l0,21600,21600,21600,21600,0xe">
            <v:stroke joinstyle="miter"/>
            <v:path gradientshapeok="t" o:connecttype="rect"/>
          </v:shapetype>
          <v:shape id="_x0000_s1026" type="#_x0000_t202" style="position:absolute;margin-left:2pt;margin-top:270pt;width:412pt;height:36pt;z-index:251658240;mso-wrap-edited:f;mso-position-horizontal:absolute;mso-position-vertical:absolute" wrapcoords="0 0 21600 0 21600 21600 0 21600 0 0" filled="f" stroked="f">
            <v:fill o:detectmouseclick="t"/>
            <v:textbox style="mso-next-textbox:#_x0000_s1026" inset=",7.2pt,,7.2pt">
              <w:txbxContent>
                <w:p w:rsidR="00236EF0" w:rsidRPr="00D168BD" w:rsidRDefault="00236EF0" w:rsidP="00D168BD">
                  <w:pPr>
                    <w:spacing w:line="480" w:lineRule="auto"/>
                    <w:rPr>
                      <w:rFonts w:ascii="Constantia" w:hAnsi="Constantia"/>
                      <w:sz w:val="20"/>
                    </w:rPr>
                  </w:pPr>
                  <w:r w:rsidRPr="00D168BD">
                    <w:rPr>
                      <w:rFonts w:ascii="Constantia" w:hAnsi="Constantia"/>
                      <w:sz w:val="20"/>
                    </w:rPr>
                    <w:t xml:space="preserve">Figure 1: Percent Identity of each gene in the 4.3 region of </w:t>
                  </w:r>
                  <w:proofErr w:type="spellStart"/>
                  <w:r w:rsidRPr="00D168BD">
                    <w:rPr>
                      <w:rFonts w:ascii="Constantia" w:hAnsi="Constantia"/>
                      <w:sz w:val="20"/>
                    </w:rPr>
                    <w:t>HelDan</w:t>
                  </w:r>
                  <w:proofErr w:type="spellEnd"/>
                  <w:r w:rsidRPr="00D168BD">
                    <w:rPr>
                      <w:rFonts w:ascii="Constantia" w:hAnsi="Constantia"/>
                      <w:sz w:val="20"/>
                    </w:rPr>
                    <w:t xml:space="preserve">. Results from </w:t>
                  </w:r>
                  <w:proofErr w:type="spellStart"/>
                  <w:r w:rsidRPr="00D168BD">
                    <w:rPr>
                      <w:rFonts w:ascii="Constantia" w:hAnsi="Constantia"/>
                      <w:sz w:val="20"/>
                    </w:rPr>
                    <w:t>blastn</w:t>
                  </w:r>
                  <w:proofErr w:type="spellEnd"/>
                  <w:r w:rsidRPr="00D168BD">
                    <w:rPr>
                      <w:rFonts w:ascii="Constantia" w:hAnsi="Constantia"/>
                      <w:sz w:val="20"/>
                    </w:rPr>
                    <w:t xml:space="preserve">. </w:t>
                  </w:r>
                </w:p>
                <w:p w:rsidR="00236EF0" w:rsidRDefault="00236EF0"/>
              </w:txbxContent>
            </v:textbox>
            <w10:wrap type="topAndBottom"/>
          </v:shape>
        </w:pict>
      </w:r>
      <w:r w:rsidR="00A403B8" w:rsidRPr="00AA1C60">
        <w:rPr>
          <w:rFonts w:ascii="Times New Roman" w:hAnsi="Times New Roman"/>
          <w:noProof/>
        </w:rPr>
        <w:drawing>
          <wp:inline distT="0" distB="0" distL="0" distR="0">
            <wp:extent cx="5461000" cy="3048000"/>
            <wp:effectExtent l="25400" t="25400" r="0" b="0"/>
            <wp:docPr id="9"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D60EB" w:rsidRPr="00AA1C60" w:rsidRDefault="004D60EB" w:rsidP="001C65D8">
      <w:pPr>
        <w:spacing w:line="480" w:lineRule="auto"/>
        <w:rPr>
          <w:rFonts w:ascii="Times New Roman" w:hAnsi="Times New Roman"/>
        </w:rPr>
      </w:pPr>
    </w:p>
    <w:p w:rsidR="001756A6" w:rsidRPr="00AA1C60" w:rsidRDefault="00E865F6" w:rsidP="001C65D8">
      <w:pPr>
        <w:spacing w:line="480" w:lineRule="auto"/>
        <w:rPr>
          <w:rFonts w:ascii="Times New Roman" w:hAnsi="Times New Roman"/>
        </w:rPr>
      </w:pPr>
      <w:r w:rsidRPr="00AA1C60">
        <w:rPr>
          <w:rFonts w:ascii="Times New Roman" w:hAnsi="Times New Roman"/>
        </w:rPr>
        <w:t>While comparing similar phages we came across the phage Rockstar,</w:t>
      </w:r>
      <w:r w:rsidR="008E1CDB">
        <w:rPr>
          <w:rFonts w:ascii="Times New Roman" w:hAnsi="Times New Roman"/>
        </w:rPr>
        <w:t xml:space="preserve"> harvested in Monroe, Louisiana. It</w:t>
      </w:r>
      <w:r w:rsidRPr="00AA1C60">
        <w:rPr>
          <w:rFonts w:ascii="Times New Roman" w:hAnsi="Times New Roman"/>
        </w:rPr>
        <w:t xml:space="preserve"> also</w:t>
      </w:r>
      <w:r w:rsidR="008E1CDB">
        <w:rPr>
          <w:rFonts w:ascii="Times New Roman" w:hAnsi="Times New Roman"/>
        </w:rPr>
        <w:t xml:space="preserve"> belongs</w:t>
      </w:r>
      <w:r w:rsidRPr="00AA1C60">
        <w:rPr>
          <w:rFonts w:ascii="Times New Roman" w:hAnsi="Times New Roman"/>
        </w:rPr>
        <w:t xml:space="preserve"> </w:t>
      </w:r>
      <w:r w:rsidR="008E1CDB">
        <w:rPr>
          <w:rFonts w:ascii="Times New Roman" w:hAnsi="Times New Roman"/>
        </w:rPr>
        <w:t>to</w:t>
      </w:r>
      <w:r w:rsidRPr="00AA1C60">
        <w:rPr>
          <w:rFonts w:ascii="Times New Roman" w:hAnsi="Times New Roman"/>
        </w:rPr>
        <w:t xml:space="preserve"> the A3 </w:t>
      </w:r>
      <w:proofErr w:type="spellStart"/>
      <w:r w:rsidRPr="00AA1C60">
        <w:rPr>
          <w:rFonts w:ascii="Times New Roman" w:hAnsi="Times New Roman"/>
        </w:rPr>
        <w:t>subcluster</w:t>
      </w:r>
      <w:proofErr w:type="spellEnd"/>
      <w:r w:rsidRPr="00AA1C60">
        <w:rPr>
          <w:rFonts w:ascii="Times New Roman" w:hAnsi="Times New Roman"/>
        </w:rPr>
        <w:t xml:space="preserve">. Running </w:t>
      </w:r>
      <w:proofErr w:type="spellStart"/>
      <w:r w:rsidRPr="00AA1C60">
        <w:rPr>
          <w:rFonts w:ascii="Times New Roman" w:hAnsi="Times New Roman"/>
        </w:rPr>
        <w:t>HelDan</w:t>
      </w:r>
      <w:proofErr w:type="spellEnd"/>
      <w:r w:rsidRPr="00AA1C60">
        <w:rPr>
          <w:rFonts w:ascii="Times New Roman" w:hAnsi="Times New Roman"/>
        </w:rPr>
        <w:t xml:space="preserve"> Long, HelDan Short, and Rockstar through </w:t>
      </w:r>
      <w:proofErr w:type="spellStart"/>
      <w:r w:rsidRPr="00AA1C60">
        <w:rPr>
          <w:rFonts w:ascii="Times New Roman" w:hAnsi="Times New Roman"/>
        </w:rPr>
        <w:t>Phamerator</w:t>
      </w:r>
      <w:proofErr w:type="spellEnd"/>
      <w:r w:rsidRPr="00AA1C60">
        <w:rPr>
          <w:rFonts w:ascii="Times New Roman" w:hAnsi="Times New Roman"/>
        </w:rPr>
        <w:t xml:space="preserve"> showed that the </w:t>
      </w:r>
      <w:r w:rsidR="00AA1C60">
        <w:rPr>
          <w:rFonts w:ascii="Times New Roman" w:hAnsi="Times New Roman"/>
        </w:rPr>
        <w:t xml:space="preserve">two phages were highly similar, </w:t>
      </w:r>
      <w:r w:rsidRPr="00AA1C60">
        <w:rPr>
          <w:rFonts w:ascii="Times New Roman" w:hAnsi="Times New Roman"/>
        </w:rPr>
        <w:t>ab</w:t>
      </w:r>
      <w:r w:rsidR="001756A6" w:rsidRPr="00AA1C60">
        <w:rPr>
          <w:rFonts w:ascii="Times New Roman" w:hAnsi="Times New Roman"/>
        </w:rPr>
        <w:t>out 93%</w:t>
      </w:r>
      <w:r w:rsidR="00AA1C60">
        <w:rPr>
          <w:rFonts w:ascii="Times New Roman" w:hAnsi="Times New Roman"/>
        </w:rPr>
        <w:t xml:space="preserve"> (Figure 2)</w:t>
      </w:r>
      <w:r w:rsidR="001756A6" w:rsidRPr="00AA1C60">
        <w:rPr>
          <w:rFonts w:ascii="Times New Roman" w:hAnsi="Times New Roman"/>
        </w:rPr>
        <w:t>. Interestingly, when comparing HelDan Long to Rockstar, part of the 4</w:t>
      </w:r>
      <w:proofErr w:type="gramStart"/>
      <w:r w:rsidR="001756A6" w:rsidRPr="00AA1C60">
        <w:rPr>
          <w:rFonts w:ascii="Times New Roman" w:hAnsi="Times New Roman"/>
        </w:rPr>
        <w:t xml:space="preserve">.3 </w:t>
      </w:r>
      <w:proofErr w:type="spellStart"/>
      <w:r w:rsidR="001756A6" w:rsidRPr="00AA1C60">
        <w:rPr>
          <w:rFonts w:ascii="Times New Roman" w:hAnsi="Times New Roman"/>
        </w:rPr>
        <w:t>kbp</w:t>
      </w:r>
      <w:proofErr w:type="spellEnd"/>
      <w:proofErr w:type="gramEnd"/>
      <w:r w:rsidR="001756A6" w:rsidRPr="00AA1C60">
        <w:rPr>
          <w:rFonts w:ascii="Times New Roman" w:hAnsi="Times New Roman"/>
        </w:rPr>
        <w:t xml:space="preserve"> region of HelDan Long matches with Rockstar, and the </w:t>
      </w:r>
      <w:r w:rsidR="00AA1C60">
        <w:rPr>
          <w:rFonts w:ascii="Times New Roman" w:hAnsi="Times New Roman"/>
        </w:rPr>
        <w:t xml:space="preserve">genomic </w:t>
      </w:r>
      <w:r w:rsidR="001756A6" w:rsidRPr="00AA1C60">
        <w:rPr>
          <w:rFonts w:ascii="Times New Roman" w:hAnsi="Times New Roman"/>
        </w:rPr>
        <w:t xml:space="preserve">variance doesn’t </w:t>
      </w:r>
      <w:r w:rsidR="00AA1C60">
        <w:rPr>
          <w:rFonts w:ascii="Times New Roman" w:hAnsi="Times New Roman"/>
        </w:rPr>
        <w:t>begin</w:t>
      </w:r>
      <w:r w:rsidR="001756A6" w:rsidRPr="00AA1C60">
        <w:rPr>
          <w:rFonts w:ascii="Times New Roman" w:hAnsi="Times New Roman"/>
        </w:rPr>
        <w:t xml:space="preserve"> until about 1 </w:t>
      </w:r>
      <w:proofErr w:type="spellStart"/>
      <w:r w:rsidR="001756A6" w:rsidRPr="00AA1C60">
        <w:rPr>
          <w:rFonts w:ascii="Times New Roman" w:hAnsi="Times New Roman"/>
        </w:rPr>
        <w:t>kbp</w:t>
      </w:r>
      <w:proofErr w:type="spellEnd"/>
      <w:r w:rsidR="001756A6" w:rsidRPr="00AA1C60">
        <w:rPr>
          <w:rFonts w:ascii="Times New Roman" w:hAnsi="Times New Roman"/>
        </w:rPr>
        <w:t xml:space="preserve"> downstream compared to HelDan Short. This section of dissimilarity </w:t>
      </w:r>
      <w:r w:rsidR="003F4358" w:rsidRPr="00AA1C60">
        <w:rPr>
          <w:rFonts w:ascii="Times New Roman" w:hAnsi="Times New Roman"/>
        </w:rPr>
        <w:t xml:space="preserve">between HelDan Long and Rockstar </w:t>
      </w:r>
      <w:r w:rsidR="001756A6" w:rsidRPr="00AA1C60">
        <w:rPr>
          <w:rFonts w:ascii="Times New Roman" w:hAnsi="Times New Roman"/>
        </w:rPr>
        <w:t>is a</w:t>
      </w:r>
      <w:r w:rsidR="00AA1C60">
        <w:rPr>
          <w:rFonts w:ascii="Times New Roman" w:hAnsi="Times New Roman"/>
        </w:rPr>
        <w:t xml:space="preserve">bout 2.8 </w:t>
      </w:r>
      <w:proofErr w:type="spellStart"/>
      <w:r w:rsidR="00AA1C60">
        <w:rPr>
          <w:rFonts w:ascii="Times New Roman" w:hAnsi="Times New Roman"/>
        </w:rPr>
        <w:t>kbp</w:t>
      </w:r>
      <w:proofErr w:type="spellEnd"/>
      <w:r w:rsidR="00AA1C60">
        <w:rPr>
          <w:rFonts w:ascii="Times New Roman" w:hAnsi="Times New Roman"/>
        </w:rPr>
        <w:t>. Also, gene</w:t>
      </w:r>
      <w:r w:rsidR="008E1CDB">
        <w:rPr>
          <w:rFonts w:ascii="Times New Roman" w:hAnsi="Times New Roman"/>
        </w:rPr>
        <w:t>s</w:t>
      </w:r>
      <w:r w:rsidR="00AA1C60">
        <w:rPr>
          <w:rFonts w:ascii="Times New Roman" w:hAnsi="Times New Roman"/>
        </w:rPr>
        <w:t xml:space="preserve"> 68 </w:t>
      </w:r>
      <w:r w:rsidR="008E1CDB">
        <w:rPr>
          <w:rFonts w:ascii="Times New Roman" w:hAnsi="Times New Roman"/>
        </w:rPr>
        <w:t xml:space="preserve">and </w:t>
      </w:r>
      <w:r w:rsidR="00AA1C60">
        <w:rPr>
          <w:rFonts w:ascii="Times New Roman" w:hAnsi="Times New Roman"/>
        </w:rPr>
        <w:t>69</w:t>
      </w:r>
      <w:r w:rsidR="008E1CDB">
        <w:rPr>
          <w:rFonts w:ascii="Times New Roman" w:hAnsi="Times New Roman"/>
        </w:rPr>
        <w:t xml:space="preserve">, 67 and 68, and 69 and 81, of </w:t>
      </w:r>
      <w:proofErr w:type="spellStart"/>
      <w:r w:rsidR="008E1CDB">
        <w:rPr>
          <w:rFonts w:ascii="Times New Roman" w:hAnsi="Times New Roman"/>
        </w:rPr>
        <w:t>Rhoker</w:t>
      </w:r>
      <w:proofErr w:type="spellEnd"/>
      <w:r w:rsidR="008E1CDB">
        <w:rPr>
          <w:rFonts w:ascii="Times New Roman" w:hAnsi="Times New Roman"/>
        </w:rPr>
        <w:t xml:space="preserve"> and HelDan, respectively, are matching genes not found in HelDan Short. </w:t>
      </w:r>
      <w:r w:rsidR="003F4358" w:rsidRPr="00AA1C60">
        <w:rPr>
          <w:rFonts w:ascii="Times New Roman" w:hAnsi="Times New Roman"/>
        </w:rPr>
        <w:t>Running both Rockstar and HelDan Long through blast showed that sequences stopped matching exactly at the beginning of the 2</w:t>
      </w:r>
      <w:proofErr w:type="gramStart"/>
      <w:r w:rsidR="003F4358" w:rsidRPr="00AA1C60">
        <w:rPr>
          <w:rFonts w:ascii="Times New Roman" w:hAnsi="Times New Roman"/>
        </w:rPr>
        <w:t>.8 kbp</w:t>
      </w:r>
      <w:proofErr w:type="gramEnd"/>
      <w:r w:rsidR="003F4358" w:rsidRPr="00AA1C60">
        <w:rPr>
          <w:rFonts w:ascii="Times New Roman" w:hAnsi="Times New Roman"/>
        </w:rPr>
        <w:t xml:space="preserve"> region (43670 bp).  </w:t>
      </w:r>
      <w:r w:rsidR="001756A6" w:rsidRPr="00AA1C60">
        <w:rPr>
          <w:rFonts w:ascii="Times New Roman" w:hAnsi="Times New Roman"/>
        </w:rPr>
        <w:t xml:space="preserve"> </w:t>
      </w:r>
    </w:p>
    <w:p w:rsidR="001756A6" w:rsidRPr="00AA1C60" w:rsidRDefault="002203F9" w:rsidP="001C65D8">
      <w:pPr>
        <w:spacing w:line="480" w:lineRule="auto"/>
        <w:rPr>
          <w:rFonts w:ascii="Times New Roman" w:hAnsi="Times New Roman"/>
        </w:rPr>
      </w:pPr>
      <w:r>
        <w:rPr>
          <w:rFonts w:ascii="Times New Roman" w:hAnsi="Times New Roman"/>
          <w:noProof/>
        </w:rPr>
        <w:pict>
          <v:shape id="_x0000_s1027" type="#_x0000_t202" style="position:absolute;margin-left:1.25pt;margin-top:414pt;width:448.75pt;height:54pt;z-index:251659264;mso-wrap-edited:f;mso-position-horizontal:absolute;mso-position-vertical:absolute" wrapcoords="0 0 21600 0 21600 21600 0 21600 0 0" filled="f" stroked="f">
            <v:fill o:detectmouseclick="t"/>
            <v:textbox style="mso-next-textbox:#_x0000_s1027" inset=",7.2pt,,7.2pt">
              <w:txbxContent>
                <w:p w:rsidR="00236EF0" w:rsidRPr="003F4358" w:rsidRDefault="00236EF0">
                  <w:pPr>
                    <w:rPr>
                      <w:sz w:val="20"/>
                    </w:rPr>
                  </w:pPr>
                  <w:r w:rsidRPr="003F4358">
                    <w:rPr>
                      <w:sz w:val="20"/>
                    </w:rPr>
                    <w:t xml:space="preserve">Figure 2: </w:t>
                  </w:r>
                  <w:proofErr w:type="spellStart"/>
                  <w:r w:rsidRPr="003F4358">
                    <w:rPr>
                      <w:sz w:val="20"/>
                    </w:rPr>
                    <w:t>Phamerator</w:t>
                  </w:r>
                  <w:proofErr w:type="spellEnd"/>
                  <w:r w:rsidRPr="003F4358">
                    <w:rPr>
                      <w:sz w:val="20"/>
                    </w:rPr>
                    <w:t xml:space="preserve"> comparison of Rockstar (top), HelDan Long (middle), and Hel Dan Short (bottom). The dissimilarity starts later downstream in Rockstar than HelDan Short. Also, there is a gene common between Rockstar and HelDan Long that is not found in HelDan Short. </w:t>
                  </w:r>
                </w:p>
              </w:txbxContent>
            </v:textbox>
            <w10:wrap type="tight"/>
          </v:shape>
        </w:pict>
      </w:r>
      <w:r w:rsidR="001756A6" w:rsidRPr="00AA1C60">
        <w:rPr>
          <w:rFonts w:ascii="Times New Roman" w:hAnsi="Times New Roman"/>
          <w:noProof/>
        </w:rPr>
        <w:drawing>
          <wp:inline distT="0" distB="0" distL="0" distR="0">
            <wp:extent cx="5918200" cy="5055130"/>
            <wp:effectExtent l="25400" t="0" r="0" b="0"/>
            <wp:docPr id="3" name="Picture 1" descr="::Desktop:Screen shot 2011-04-18 at 3.14.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1-04-18 at 3.14.20 PM.png"/>
                    <pic:cNvPicPr>
                      <a:picLocks noChangeAspect="1" noChangeArrowheads="1"/>
                    </pic:cNvPicPr>
                  </pic:nvPicPr>
                  <pic:blipFill>
                    <a:blip r:embed="rId5"/>
                    <a:srcRect/>
                    <a:stretch>
                      <a:fillRect/>
                    </a:stretch>
                  </pic:blipFill>
                  <pic:spPr bwMode="auto">
                    <a:xfrm>
                      <a:off x="0" y="0"/>
                      <a:ext cx="5924733" cy="5060710"/>
                    </a:xfrm>
                    <a:prstGeom prst="rect">
                      <a:avLst/>
                    </a:prstGeom>
                    <a:noFill/>
                    <a:ln w="9525">
                      <a:noFill/>
                      <a:miter lim="800000"/>
                      <a:headEnd/>
                      <a:tailEnd/>
                    </a:ln>
                  </pic:spPr>
                </pic:pic>
              </a:graphicData>
            </a:graphic>
          </wp:inline>
        </w:drawing>
      </w:r>
    </w:p>
    <w:p w:rsidR="003F4358" w:rsidRPr="00AA1C60" w:rsidRDefault="003F4358" w:rsidP="001C65D8">
      <w:pPr>
        <w:spacing w:line="480" w:lineRule="auto"/>
        <w:rPr>
          <w:rFonts w:ascii="Times New Roman" w:hAnsi="Times New Roman"/>
        </w:rPr>
      </w:pPr>
    </w:p>
    <w:p w:rsidR="00D168BD" w:rsidRPr="00AA1C60" w:rsidRDefault="00D168BD" w:rsidP="001C65D8">
      <w:pPr>
        <w:spacing w:line="480" w:lineRule="auto"/>
        <w:rPr>
          <w:rFonts w:ascii="Times New Roman" w:hAnsi="Times New Roman"/>
        </w:rPr>
      </w:pPr>
    </w:p>
    <w:p w:rsidR="0012689A" w:rsidRPr="00AA1C60" w:rsidRDefault="0012689A" w:rsidP="001C65D8">
      <w:pPr>
        <w:spacing w:line="480" w:lineRule="auto"/>
        <w:rPr>
          <w:rFonts w:ascii="Times New Roman" w:hAnsi="Times New Roman"/>
          <w:b/>
        </w:rPr>
      </w:pPr>
      <w:r w:rsidRPr="00AA1C60">
        <w:rPr>
          <w:rFonts w:ascii="Times New Roman" w:hAnsi="Times New Roman"/>
          <w:b/>
        </w:rPr>
        <w:t xml:space="preserve">Discussion: </w:t>
      </w:r>
    </w:p>
    <w:p w:rsidR="001C65D8" w:rsidRPr="00AA1C60" w:rsidRDefault="0012689A" w:rsidP="001C65D8">
      <w:pPr>
        <w:spacing w:line="480" w:lineRule="auto"/>
        <w:rPr>
          <w:rFonts w:ascii="Times New Roman" w:hAnsi="Times New Roman"/>
          <w:b/>
        </w:rPr>
      </w:pPr>
      <w:r w:rsidRPr="00AA1C60">
        <w:rPr>
          <w:rFonts w:ascii="Times New Roman" w:hAnsi="Times New Roman"/>
          <w:b/>
        </w:rPr>
        <w:t xml:space="preserve">Works Cited: </w:t>
      </w:r>
    </w:p>
    <w:p w:rsidR="0012689A" w:rsidRPr="00AA1C60" w:rsidRDefault="0012689A" w:rsidP="001C65D8">
      <w:pPr>
        <w:spacing w:line="480" w:lineRule="auto"/>
        <w:rPr>
          <w:rFonts w:ascii="Times New Roman" w:hAnsi="Times New Roman"/>
        </w:rPr>
      </w:pPr>
    </w:p>
    <w:sectPr w:rsidR="0012689A" w:rsidRPr="00AA1C60" w:rsidSect="00AA1C6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65D8"/>
    <w:rsid w:val="0010080A"/>
    <w:rsid w:val="0012689A"/>
    <w:rsid w:val="00172CE2"/>
    <w:rsid w:val="001756A6"/>
    <w:rsid w:val="001C65D8"/>
    <w:rsid w:val="001F0734"/>
    <w:rsid w:val="002203F9"/>
    <w:rsid w:val="00236EF0"/>
    <w:rsid w:val="003F4358"/>
    <w:rsid w:val="004D60EB"/>
    <w:rsid w:val="008E1CDB"/>
    <w:rsid w:val="009B5107"/>
    <w:rsid w:val="00A0095C"/>
    <w:rsid w:val="00A403B8"/>
    <w:rsid w:val="00A4727F"/>
    <w:rsid w:val="00AA1C60"/>
    <w:rsid w:val="00C85706"/>
    <w:rsid w:val="00D168BD"/>
    <w:rsid w:val="00D340DD"/>
    <w:rsid w:val="00D702A7"/>
    <w:rsid w:val="00D72426"/>
    <w:rsid w:val="00E224AD"/>
    <w:rsid w:val="00E42FCB"/>
    <w:rsid w:val="00E865F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03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285894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hart" Target="charts/chart1.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162281450283831"/>
          <c:y val="0.00548425196850394"/>
          <c:w val="0.715225599707013"/>
          <c:h val="0.80230216535433"/>
        </c:manualLayout>
      </c:layout>
      <c:barChart>
        <c:barDir val="bar"/>
        <c:grouping val="clustered"/>
        <c:ser>
          <c:idx val="0"/>
          <c:order val="0"/>
          <c:tx>
            <c:strRef>
              <c:f>Sheet1!$B$1</c:f>
              <c:strCache>
                <c:ptCount val="1"/>
                <c:pt idx="0">
                  <c:v>Peaches</c:v>
                </c:pt>
              </c:strCache>
            </c:strRef>
          </c:tx>
          <c:cat>
            <c:numRef>
              <c:f>Sheet1!$A$2:$A$15</c:f>
              <c:numCache>
                <c:formatCode>General</c:formatCode>
                <c:ptCount val="14"/>
                <c:pt idx="0">
                  <c:v>68.0</c:v>
                </c:pt>
                <c:pt idx="1">
                  <c:v>69.0</c:v>
                </c:pt>
                <c:pt idx="2">
                  <c:v>70.0</c:v>
                </c:pt>
                <c:pt idx="3">
                  <c:v>71.0</c:v>
                </c:pt>
                <c:pt idx="4">
                  <c:v>72.0</c:v>
                </c:pt>
                <c:pt idx="5">
                  <c:v>73.0</c:v>
                </c:pt>
                <c:pt idx="6">
                  <c:v>74.0</c:v>
                </c:pt>
                <c:pt idx="7">
                  <c:v>75.0</c:v>
                </c:pt>
                <c:pt idx="8">
                  <c:v>76.0</c:v>
                </c:pt>
                <c:pt idx="9">
                  <c:v>77.0</c:v>
                </c:pt>
                <c:pt idx="10">
                  <c:v>78.0</c:v>
                </c:pt>
                <c:pt idx="11">
                  <c:v>79.0</c:v>
                </c:pt>
                <c:pt idx="12">
                  <c:v>80.0</c:v>
                </c:pt>
                <c:pt idx="13">
                  <c:v>81.0</c:v>
                </c:pt>
              </c:numCache>
            </c:numRef>
          </c:cat>
          <c:val>
            <c:numRef>
              <c:f>Sheet1!$B$2:$B$15</c:f>
              <c:numCache>
                <c:formatCode>General</c:formatCode>
                <c:ptCount val="14"/>
                <c:pt idx="0">
                  <c:v>46.0</c:v>
                </c:pt>
                <c:pt idx="1">
                  <c:v>84.0</c:v>
                </c:pt>
                <c:pt idx="3">
                  <c:v>78.0</c:v>
                </c:pt>
                <c:pt idx="6">
                  <c:v>57.0</c:v>
                </c:pt>
                <c:pt idx="9">
                  <c:v>89.0</c:v>
                </c:pt>
                <c:pt idx="13">
                  <c:v>46.0</c:v>
                </c:pt>
              </c:numCache>
            </c:numRef>
          </c:val>
        </c:ser>
        <c:ser>
          <c:idx val="1"/>
          <c:order val="1"/>
          <c:tx>
            <c:strRef>
              <c:f>Sheet1!$C$1</c:f>
              <c:strCache>
                <c:ptCount val="1"/>
                <c:pt idx="0">
                  <c:v>Eagle</c:v>
                </c:pt>
              </c:strCache>
            </c:strRef>
          </c:tx>
          <c:cat>
            <c:numRef>
              <c:f>Sheet1!$A$2:$A$15</c:f>
              <c:numCache>
                <c:formatCode>General</c:formatCode>
                <c:ptCount val="14"/>
                <c:pt idx="0">
                  <c:v>68.0</c:v>
                </c:pt>
                <c:pt idx="1">
                  <c:v>69.0</c:v>
                </c:pt>
                <c:pt idx="2">
                  <c:v>70.0</c:v>
                </c:pt>
                <c:pt idx="3">
                  <c:v>71.0</c:v>
                </c:pt>
                <c:pt idx="4">
                  <c:v>72.0</c:v>
                </c:pt>
                <c:pt idx="5">
                  <c:v>73.0</c:v>
                </c:pt>
                <c:pt idx="6">
                  <c:v>74.0</c:v>
                </c:pt>
                <c:pt idx="7">
                  <c:v>75.0</c:v>
                </c:pt>
                <c:pt idx="8">
                  <c:v>76.0</c:v>
                </c:pt>
                <c:pt idx="9">
                  <c:v>77.0</c:v>
                </c:pt>
                <c:pt idx="10">
                  <c:v>78.0</c:v>
                </c:pt>
                <c:pt idx="11">
                  <c:v>79.0</c:v>
                </c:pt>
                <c:pt idx="12">
                  <c:v>80.0</c:v>
                </c:pt>
                <c:pt idx="13">
                  <c:v>81.0</c:v>
                </c:pt>
              </c:numCache>
            </c:numRef>
          </c:cat>
          <c:val>
            <c:numRef>
              <c:f>Sheet1!$C$2:$C$15</c:f>
              <c:numCache>
                <c:formatCode>General</c:formatCode>
                <c:ptCount val="14"/>
                <c:pt idx="0">
                  <c:v>46.0</c:v>
                </c:pt>
              </c:numCache>
            </c:numRef>
          </c:val>
        </c:ser>
        <c:ser>
          <c:idx val="2"/>
          <c:order val="2"/>
          <c:tx>
            <c:strRef>
              <c:f>Sheet1!$D$1</c:f>
              <c:strCache>
                <c:ptCount val="1"/>
                <c:pt idx="0">
                  <c:v>L5</c:v>
                </c:pt>
              </c:strCache>
            </c:strRef>
          </c:tx>
          <c:cat>
            <c:numRef>
              <c:f>Sheet1!$A$2:$A$15</c:f>
              <c:numCache>
                <c:formatCode>General</c:formatCode>
                <c:ptCount val="14"/>
                <c:pt idx="0">
                  <c:v>68.0</c:v>
                </c:pt>
                <c:pt idx="1">
                  <c:v>69.0</c:v>
                </c:pt>
                <c:pt idx="2">
                  <c:v>70.0</c:v>
                </c:pt>
                <c:pt idx="3">
                  <c:v>71.0</c:v>
                </c:pt>
                <c:pt idx="4">
                  <c:v>72.0</c:v>
                </c:pt>
                <c:pt idx="5">
                  <c:v>73.0</c:v>
                </c:pt>
                <c:pt idx="6">
                  <c:v>74.0</c:v>
                </c:pt>
                <c:pt idx="7">
                  <c:v>75.0</c:v>
                </c:pt>
                <c:pt idx="8">
                  <c:v>76.0</c:v>
                </c:pt>
                <c:pt idx="9">
                  <c:v>77.0</c:v>
                </c:pt>
                <c:pt idx="10">
                  <c:v>78.0</c:v>
                </c:pt>
                <c:pt idx="11">
                  <c:v>79.0</c:v>
                </c:pt>
                <c:pt idx="12">
                  <c:v>80.0</c:v>
                </c:pt>
                <c:pt idx="13">
                  <c:v>81.0</c:v>
                </c:pt>
              </c:numCache>
            </c:numRef>
          </c:cat>
          <c:val>
            <c:numRef>
              <c:f>Sheet1!$D$2:$D$15</c:f>
              <c:numCache>
                <c:formatCode>General</c:formatCode>
                <c:ptCount val="14"/>
                <c:pt idx="5">
                  <c:v>46.0</c:v>
                </c:pt>
                <c:pt idx="7">
                  <c:v>52.0</c:v>
                </c:pt>
                <c:pt idx="12">
                  <c:v>65.0</c:v>
                </c:pt>
              </c:numCache>
            </c:numRef>
          </c:val>
        </c:ser>
        <c:ser>
          <c:idx val="3"/>
          <c:order val="3"/>
          <c:tx>
            <c:strRef>
              <c:f>Sheet1!$E$1</c:f>
              <c:strCache>
                <c:ptCount val="1"/>
                <c:pt idx="0">
                  <c:v>Bxz2</c:v>
                </c:pt>
              </c:strCache>
            </c:strRef>
          </c:tx>
          <c:cat>
            <c:numRef>
              <c:f>Sheet1!$A$2:$A$15</c:f>
              <c:numCache>
                <c:formatCode>General</c:formatCode>
                <c:ptCount val="14"/>
                <c:pt idx="0">
                  <c:v>68.0</c:v>
                </c:pt>
                <c:pt idx="1">
                  <c:v>69.0</c:v>
                </c:pt>
                <c:pt idx="2">
                  <c:v>70.0</c:v>
                </c:pt>
                <c:pt idx="3">
                  <c:v>71.0</c:v>
                </c:pt>
                <c:pt idx="4">
                  <c:v>72.0</c:v>
                </c:pt>
                <c:pt idx="5">
                  <c:v>73.0</c:v>
                </c:pt>
                <c:pt idx="6">
                  <c:v>74.0</c:v>
                </c:pt>
                <c:pt idx="7">
                  <c:v>75.0</c:v>
                </c:pt>
                <c:pt idx="8">
                  <c:v>76.0</c:v>
                </c:pt>
                <c:pt idx="9">
                  <c:v>77.0</c:v>
                </c:pt>
                <c:pt idx="10">
                  <c:v>78.0</c:v>
                </c:pt>
                <c:pt idx="11">
                  <c:v>79.0</c:v>
                </c:pt>
                <c:pt idx="12">
                  <c:v>80.0</c:v>
                </c:pt>
                <c:pt idx="13">
                  <c:v>81.0</c:v>
                </c:pt>
              </c:numCache>
            </c:numRef>
          </c:cat>
          <c:val>
            <c:numRef>
              <c:f>Sheet1!$E$2:$E$15</c:f>
              <c:numCache>
                <c:formatCode>General</c:formatCode>
                <c:ptCount val="14"/>
                <c:pt idx="7">
                  <c:v>59.0</c:v>
                </c:pt>
                <c:pt idx="10">
                  <c:v>85.0</c:v>
                </c:pt>
                <c:pt idx="11">
                  <c:v>64.0</c:v>
                </c:pt>
                <c:pt idx="12">
                  <c:v>62.0</c:v>
                </c:pt>
              </c:numCache>
            </c:numRef>
          </c:val>
        </c:ser>
        <c:ser>
          <c:idx val="4"/>
          <c:order val="4"/>
          <c:tx>
            <c:strRef>
              <c:f>Sheet1!$F$1</c:f>
              <c:strCache>
                <c:ptCount val="1"/>
                <c:pt idx="0">
                  <c:v>RedRock</c:v>
                </c:pt>
              </c:strCache>
            </c:strRef>
          </c:tx>
          <c:cat>
            <c:numRef>
              <c:f>Sheet1!$A$2:$A$15</c:f>
              <c:numCache>
                <c:formatCode>General</c:formatCode>
                <c:ptCount val="14"/>
                <c:pt idx="0">
                  <c:v>68.0</c:v>
                </c:pt>
                <c:pt idx="1">
                  <c:v>69.0</c:v>
                </c:pt>
                <c:pt idx="2">
                  <c:v>70.0</c:v>
                </c:pt>
                <c:pt idx="3">
                  <c:v>71.0</c:v>
                </c:pt>
                <c:pt idx="4">
                  <c:v>72.0</c:v>
                </c:pt>
                <c:pt idx="5">
                  <c:v>73.0</c:v>
                </c:pt>
                <c:pt idx="6">
                  <c:v>74.0</c:v>
                </c:pt>
                <c:pt idx="7">
                  <c:v>75.0</c:v>
                </c:pt>
                <c:pt idx="8">
                  <c:v>76.0</c:v>
                </c:pt>
                <c:pt idx="9">
                  <c:v>77.0</c:v>
                </c:pt>
                <c:pt idx="10">
                  <c:v>78.0</c:v>
                </c:pt>
                <c:pt idx="11">
                  <c:v>79.0</c:v>
                </c:pt>
                <c:pt idx="12">
                  <c:v>80.0</c:v>
                </c:pt>
                <c:pt idx="13">
                  <c:v>81.0</c:v>
                </c:pt>
              </c:numCache>
            </c:numRef>
          </c:cat>
          <c:val>
            <c:numRef>
              <c:f>Sheet1!$F$2:$F$15</c:f>
              <c:numCache>
                <c:formatCode>General</c:formatCode>
                <c:ptCount val="14"/>
                <c:pt idx="13">
                  <c:v>49.0</c:v>
                </c:pt>
              </c:numCache>
            </c:numRef>
          </c:val>
        </c:ser>
        <c:ser>
          <c:idx val="5"/>
          <c:order val="5"/>
          <c:tx>
            <c:strRef>
              <c:f>Sheet1!$G$1</c:f>
              <c:strCache>
                <c:ptCount val="1"/>
                <c:pt idx="0">
                  <c:v>Pukovnik</c:v>
                </c:pt>
              </c:strCache>
            </c:strRef>
          </c:tx>
          <c:cat>
            <c:numRef>
              <c:f>Sheet1!$A$2:$A$15</c:f>
              <c:numCache>
                <c:formatCode>General</c:formatCode>
                <c:ptCount val="14"/>
                <c:pt idx="0">
                  <c:v>68.0</c:v>
                </c:pt>
                <c:pt idx="1">
                  <c:v>69.0</c:v>
                </c:pt>
                <c:pt idx="2">
                  <c:v>70.0</c:v>
                </c:pt>
                <c:pt idx="3">
                  <c:v>71.0</c:v>
                </c:pt>
                <c:pt idx="4">
                  <c:v>72.0</c:v>
                </c:pt>
                <c:pt idx="5">
                  <c:v>73.0</c:v>
                </c:pt>
                <c:pt idx="6">
                  <c:v>74.0</c:v>
                </c:pt>
                <c:pt idx="7">
                  <c:v>75.0</c:v>
                </c:pt>
                <c:pt idx="8">
                  <c:v>76.0</c:v>
                </c:pt>
                <c:pt idx="9">
                  <c:v>77.0</c:v>
                </c:pt>
                <c:pt idx="10">
                  <c:v>78.0</c:v>
                </c:pt>
                <c:pt idx="11">
                  <c:v>79.0</c:v>
                </c:pt>
                <c:pt idx="12">
                  <c:v>80.0</c:v>
                </c:pt>
                <c:pt idx="13">
                  <c:v>81.0</c:v>
                </c:pt>
              </c:numCache>
            </c:numRef>
          </c:cat>
          <c:val>
            <c:numRef>
              <c:f>Sheet1!$G$2:$G$15</c:f>
              <c:numCache>
                <c:formatCode>General</c:formatCode>
                <c:ptCount val="14"/>
                <c:pt idx="8">
                  <c:v>80.0</c:v>
                </c:pt>
              </c:numCache>
            </c:numRef>
          </c:val>
        </c:ser>
        <c:ser>
          <c:idx val="6"/>
          <c:order val="6"/>
          <c:tx>
            <c:strRef>
              <c:f>Sheet1!$H$1</c:f>
              <c:strCache>
                <c:ptCount val="1"/>
                <c:pt idx="0">
                  <c:v>Muguga</c:v>
                </c:pt>
              </c:strCache>
            </c:strRef>
          </c:tx>
          <c:cat>
            <c:numRef>
              <c:f>Sheet1!$A$2:$A$15</c:f>
              <c:numCache>
                <c:formatCode>General</c:formatCode>
                <c:ptCount val="14"/>
                <c:pt idx="0">
                  <c:v>68.0</c:v>
                </c:pt>
                <c:pt idx="1">
                  <c:v>69.0</c:v>
                </c:pt>
                <c:pt idx="2">
                  <c:v>70.0</c:v>
                </c:pt>
                <c:pt idx="3">
                  <c:v>71.0</c:v>
                </c:pt>
                <c:pt idx="4">
                  <c:v>72.0</c:v>
                </c:pt>
                <c:pt idx="5">
                  <c:v>73.0</c:v>
                </c:pt>
                <c:pt idx="6">
                  <c:v>74.0</c:v>
                </c:pt>
                <c:pt idx="7">
                  <c:v>75.0</c:v>
                </c:pt>
                <c:pt idx="8">
                  <c:v>76.0</c:v>
                </c:pt>
                <c:pt idx="9">
                  <c:v>77.0</c:v>
                </c:pt>
                <c:pt idx="10">
                  <c:v>78.0</c:v>
                </c:pt>
                <c:pt idx="11">
                  <c:v>79.0</c:v>
                </c:pt>
                <c:pt idx="12">
                  <c:v>80.0</c:v>
                </c:pt>
                <c:pt idx="13">
                  <c:v>81.0</c:v>
                </c:pt>
              </c:numCache>
            </c:numRef>
          </c:cat>
          <c:val>
            <c:numRef>
              <c:f>Sheet1!$H$2:$H$15</c:f>
              <c:numCache>
                <c:formatCode>General</c:formatCode>
                <c:ptCount val="14"/>
                <c:pt idx="2">
                  <c:v>22.0</c:v>
                </c:pt>
              </c:numCache>
            </c:numRef>
          </c:val>
        </c:ser>
        <c:axId val="500072536"/>
        <c:axId val="500081752"/>
      </c:barChart>
      <c:catAx>
        <c:axId val="500072536"/>
        <c:scaling>
          <c:orientation val="minMax"/>
        </c:scaling>
        <c:axPos val="l"/>
        <c:title>
          <c:tx>
            <c:rich>
              <a:bodyPr/>
              <a:lstStyle/>
              <a:p>
                <a:pPr>
                  <a:defRPr/>
                </a:pPr>
                <a:r>
                  <a:rPr lang="en-US" sz="1050"/>
                  <a:t>Gene Prediction</a:t>
                </a:r>
              </a:p>
            </c:rich>
          </c:tx>
        </c:title>
        <c:numFmt formatCode="General" sourceLinked="1"/>
        <c:tickLblPos val="nextTo"/>
        <c:txPr>
          <a:bodyPr/>
          <a:lstStyle/>
          <a:p>
            <a:pPr>
              <a:defRPr sz="1050"/>
            </a:pPr>
            <a:endParaRPr lang="en-US"/>
          </a:p>
        </c:txPr>
        <c:crossAx val="500081752"/>
        <c:crosses val="autoZero"/>
        <c:auto val="1"/>
        <c:lblAlgn val="ctr"/>
        <c:lblOffset val="100"/>
      </c:catAx>
      <c:valAx>
        <c:axId val="500081752"/>
        <c:scaling>
          <c:orientation val="minMax"/>
        </c:scaling>
        <c:axPos val="b"/>
        <c:majorGridlines/>
        <c:title>
          <c:tx>
            <c:rich>
              <a:bodyPr/>
              <a:lstStyle/>
              <a:p>
                <a:pPr>
                  <a:defRPr/>
                </a:pPr>
                <a:r>
                  <a:rPr lang="en-US" sz="1050"/>
                  <a:t>Percent Identity</a:t>
                </a:r>
              </a:p>
            </c:rich>
          </c:tx>
        </c:title>
        <c:numFmt formatCode="General" sourceLinked="1"/>
        <c:tickLblPos val="nextTo"/>
        <c:txPr>
          <a:bodyPr/>
          <a:lstStyle/>
          <a:p>
            <a:pPr>
              <a:defRPr sz="1050"/>
            </a:pPr>
            <a:endParaRPr lang="en-US"/>
          </a:p>
        </c:txPr>
        <c:crossAx val="500072536"/>
        <c:crosses val="autoZero"/>
        <c:crossBetween val="between"/>
      </c:valAx>
    </c:plotArea>
    <c:legend>
      <c:legendPos val="r"/>
      <c:legendEntry>
        <c:idx val="0"/>
        <c:delete val="1"/>
      </c:legendEntry>
      <c:txPr>
        <a:bodyPr/>
        <a:lstStyle/>
        <a:p>
          <a:pPr>
            <a:defRPr sz="1050"/>
          </a:pPr>
          <a:endParaRPr lang="en-US"/>
        </a:p>
      </c:txPr>
    </c:legend>
    <c:plotVisOnly val="1"/>
  </c:chart>
  <c:txPr>
    <a:bodyPr wrap="none">
      <a:noAutofit/>
    </a:bodyPr>
    <a:lstStyle/>
    <a:p>
      <a:pPr>
        <a:defRPr sz="1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571</Words>
  <Characters>3258</Characters>
  <Application>Microsoft Macintosh Word</Application>
  <DocSecurity>0</DocSecurity>
  <Lines>27</Lines>
  <Paragraphs>6</Paragraphs>
  <ScaleCrop>false</ScaleCrop>
  <Company>Student</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Chris Rhodes</cp:lastModifiedBy>
  <cp:revision>7</cp:revision>
  <dcterms:created xsi:type="dcterms:W3CDTF">2011-04-22T18:54:00Z</dcterms:created>
  <dcterms:modified xsi:type="dcterms:W3CDTF">2011-04-25T18:50:00Z</dcterms:modified>
</cp:coreProperties>
</file>