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C57FC" w:rsidRPr="003C57FC" w:rsidRDefault="00BB7347" w:rsidP="007974B6">
      <w:pPr>
        <w:widowControl w:val="0"/>
        <w:autoSpaceDE w:val="0"/>
        <w:autoSpaceDN w:val="0"/>
        <w:adjustRightInd w:val="0"/>
        <w:spacing w:line="480" w:lineRule="auto"/>
        <w:rPr>
          <w:rFonts w:ascii="Times New Roman" w:hAnsi="Times New Roman" w:cs="Times New Roman"/>
          <w:b/>
        </w:rPr>
      </w:pPr>
      <w:r>
        <w:rPr>
          <w:rFonts w:ascii="Times New Roman" w:hAnsi="Times New Roman" w:cs="Times New Roman"/>
          <w:b/>
        </w:rPr>
        <w:t>Effect</w:t>
      </w:r>
      <w:r w:rsidR="003C57FC" w:rsidRPr="003C57FC">
        <w:rPr>
          <w:rFonts w:ascii="Times New Roman" w:hAnsi="Times New Roman" w:cs="Times New Roman"/>
          <w:b/>
        </w:rPr>
        <w:t xml:space="preserve"> of vary</w:t>
      </w:r>
      <w:r>
        <w:rPr>
          <w:rFonts w:ascii="Times New Roman" w:hAnsi="Times New Roman" w:cs="Times New Roman"/>
          <w:b/>
        </w:rPr>
        <w:t xml:space="preserve">ing </w:t>
      </w:r>
      <w:proofErr w:type="spellStart"/>
      <w:r>
        <w:rPr>
          <w:rFonts w:ascii="Times New Roman" w:hAnsi="Times New Roman" w:cs="Times New Roman"/>
          <w:b/>
        </w:rPr>
        <w:t>Dexamethasone</w:t>
      </w:r>
      <w:proofErr w:type="spellEnd"/>
      <w:r>
        <w:rPr>
          <w:rFonts w:ascii="Times New Roman" w:hAnsi="Times New Roman" w:cs="Times New Roman"/>
          <w:b/>
        </w:rPr>
        <w:t xml:space="preserve"> concentration</w:t>
      </w:r>
      <w:r w:rsidR="003C57FC" w:rsidRPr="003C57FC">
        <w:rPr>
          <w:rFonts w:ascii="Times New Roman" w:hAnsi="Times New Roman" w:cs="Times New Roman"/>
          <w:b/>
        </w:rPr>
        <w:t xml:space="preserve"> on </w:t>
      </w:r>
      <w:proofErr w:type="spellStart"/>
      <w:r w:rsidR="003C57FC" w:rsidRPr="003C57FC">
        <w:rPr>
          <w:rFonts w:ascii="Times New Roman" w:hAnsi="Times New Roman" w:cs="Times New Roman"/>
          <w:b/>
        </w:rPr>
        <w:t>chondrocyte</w:t>
      </w:r>
      <w:proofErr w:type="spellEnd"/>
      <w:r w:rsidR="003C57FC" w:rsidRPr="003C57FC">
        <w:rPr>
          <w:rFonts w:ascii="Times New Roman" w:hAnsi="Times New Roman" w:cs="Times New Roman"/>
          <w:b/>
        </w:rPr>
        <w:t xml:space="preserve"> differentiation</w:t>
      </w:r>
      <w:r w:rsidR="003C57FC">
        <w:rPr>
          <w:rFonts w:ascii="Times New Roman" w:hAnsi="Times New Roman" w:cs="Times New Roman"/>
          <w:b/>
        </w:rPr>
        <w:t xml:space="preserve"> as shown </w:t>
      </w:r>
      <w:r w:rsidR="005A5AFF">
        <w:rPr>
          <w:rFonts w:ascii="Times New Roman" w:hAnsi="Times New Roman" w:cs="Times New Roman"/>
          <w:b/>
        </w:rPr>
        <w:t>by</w:t>
      </w:r>
      <w:r>
        <w:rPr>
          <w:rFonts w:ascii="Times New Roman" w:hAnsi="Times New Roman" w:cs="Times New Roman"/>
          <w:b/>
        </w:rPr>
        <w:t xml:space="preserve"> measuring</w:t>
      </w:r>
      <w:r w:rsidR="005A5AFF">
        <w:rPr>
          <w:rFonts w:ascii="Times New Roman" w:hAnsi="Times New Roman" w:cs="Times New Roman"/>
          <w:b/>
        </w:rPr>
        <w:t xml:space="preserve"> transcript and protein levels of Collagen I and Collagen II</w:t>
      </w:r>
    </w:p>
    <w:p w:rsidR="005A5AFF" w:rsidRDefault="005A5AFF" w:rsidP="007974B6">
      <w:pPr>
        <w:widowControl w:val="0"/>
        <w:autoSpaceDE w:val="0"/>
        <w:autoSpaceDN w:val="0"/>
        <w:adjustRightInd w:val="0"/>
        <w:spacing w:line="480" w:lineRule="auto"/>
        <w:rPr>
          <w:rFonts w:ascii="Times New Roman" w:hAnsi="Times New Roman" w:cs="Times New Roman"/>
        </w:rPr>
      </w:pPr>
    </w:p>
    <w:p w:rsidR="005A5AFF" w:rsidRDefault="0068442F" w:rsidP="007974B6">
      <w:pPr>
        <w:widowControl w:val="0"/>
        <w:autoSpaceDE w:val="0"/>
        <w:autoSpaceDN w:val="0"/>
        <w:adjustRightInd w:val="0"/>
        <w:spacing w:line="480" w:lineRule="auto"/>
        <w:rPr>
          <w:rFonts w:ascii="Times New Roman" w:hAnsi="Times New Roman" w:cs="Times New Roman"/>
        </w:rPr>
      </w:pPr>
      <w:proofErr w:type="spellStart"/>
      <w:r>
        <w:rPr>
          <w:rFonts w:ascii="Times New Roman" w:hAnsi="Times New Roman" w:cs="Times New Roman"/>
        </w:rPr>
        <w:t>Mashaal</w:t>
      </w:r>
      <w:proofErr w:type="spellEnd"/>
      <w:r>
        <w:rPr>
          <w:rFonts w:ascii="Times New Roman" w:hAnsi="Times New Roman" w:cs="Times New Roman"/>
        </w:rPr>
        <w:t xml:space="preserve"> </w:t>
      </w:r>
      <w:proofErr w:type="spellStart"/>
      <w:r>
        <w:rPr>
          <w:rFonts w:ascii="Times New Roman" w:hAnsi="Times New Roman" w:cs="Times New Roman"/>
        </w:rPr>
        <w:t>Sohail</w:t>
      </w:r>
      <w:proofErr w:type="spellEnd"/>
    </w:p>
    <w:p w:rsidR="007974B6" w:rsidRDefault="005A5AFF" w:rsidP="007974B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Peter </w:t>
      </w:r>
      <w:proofErr w:type="spellStart"/>
      <w:r>
        <w:rPr>
          <w:rFonts w:ascii="Times New Roman" w:hAnsi="Times New Roman" w:cs="Times New Roman"/>
        </w:rPr>
        <w:t>Bojo</w:t>
      </w:r>
      <w:proofErr w:type="spellEnd"/>
    </w:p>
    <w:p w:rsidR="0068442F" w:rsidRDefault="0068442F" w:rsidP="0068442F">
      <w:pPr>
        <w:widowControl w:val="0"/>
        <w:autoSpaceDE w:val="0"/>
        <w:autoSpaceDN w:val="0"/>
        <w:adjustRightInd w:val="0"/>
        <w:spacing w:line="480" w:lineRule="auto"/>
        <w:rPr>
          <w:rFonts w:ascii="Times New Roman" w:hAnsi="Times New Roman" w:cs="Times New Roman"/>
        </w:rPr>
      </w:pPr>
    </w:p>
    <w:p w:rsidR="007974B6" w:rsidRDefault="007974B6" w:rsidP="0041783C">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The significance of the field of cartilage tissue engineering lies in its potential to treat Osteoarthr</w:t>
      </w:r>
      <w:r w:rsidR="001C3DC2">
        <w:rPr>
          <w:rFonts w:ascii="Times New Roman" w:hAnsi="Times New Roman" w:cs="Times New Roman"/>
        </w:rPr>
        <w:t>itis, a widespread disease that</w:t>
      </w:r>
      <w:r>
        <w:rPr>
          <w:rFonts w:ascii="Times New Roman" w:hAnsi="Times New Roman" w:cs="Times New Roman"/>
        </w:rPr>
        <w:t xml:space="preserve"> causes cartilage tissue degradation and joints inflammation. Cartilage is composed of specialized cells called </w:t>
      </w:r>
      <w:proofErr w:type="spellStart"/>
      <w:r>
        <w:rPr>
          <w:rFonts w:ascii="Times New Roman" w:hAnsi="Times New Roman" w:cs="Times New Roman"/>
        </w:rPr>
        <w:t>chondrocy</w:t>
      </w:r>
      <w:r w:rsidR="00DC24B6">
        <w:rPr>
          <w:rFonts w:ascii="Times New Roman" w:hAnsi="Times New Roman" w:cs="Times New Roman"/>
        </w:rPr>
        <w:t>tes</w:t>
      </w:r>
      <w:proofErr w:type="spellEnd"/>
      <w:r w:rsidR="00DC24B6">
        <w:rPr>
          <w:rFonts w:ascii="Times New Roman" w:hAnsi="Times New Roman" w:cs="Times New Roman"/>
        </w:rPr>
        <w:t xml:space="preserve"> and it</w:t>
      </w:r>
      <w:r>
        <w:rPr>
          <w:rFonts w:ascii="Times New Roman" w:hAnsi="Times New Roman" w:cs="Times New Roman"/>
        </w:rPr>
        <w:t xml:space="preserve"> is, therefore, crucially important to understand the factors associated with </w:t>
      </w:r>
      <w:proofErr w:type="spellStart"/>
      <w:r>
        <w:rPr>
          <w:rFonts w:ascii="Times New Roman" w:hAnsi="Times New Roman" w:cs="Times New Roman"/>
        </w:rPr>
        <w:t>chondrocyte</w:t>
      </w:r>
      <w:proofErr w:type="spellEnd"/>
      <w:r>
        <w:rPr>
          <w:rFonts w:ascii="Times New Roman" w:hAnsi="Times New Roman" w:cs="Times New Roman"/>
        </w:rPr>
        <w:t xml:space="preserve"> pheno</w:t>
      </w:r>
      <w:r w:rsidR="006B7A64">
        <w:rPr>
          <w:rFonts w:ascii="Times New Roman" w:hAnsi="Times New Roman" w:cs="Times New Roman"/>
        </w:rPr>
        <w:t>type development</w:t>
      </w:r>
      <w:r>
        <w:rPr>
          <w:rFonts w:ascii="Times New Roman" w:hAnsi="Times New Roman" w:cs="Times New Roman"/>
        </w:rPr>
        <w:t xml:space="preserve"> in order to engi</w:t>
      </w:r>
      <w:r w:rsidR="009A5E17">
        <w:rPr>
          <w:rFonts w:ascii="Times New Roman" w:hAnsi="Times New Roman" w:cs="Times New Roman"/>
        </w:rPr>
        <w:t xml:space="preserve">neer cartilage tissue in vitro. Previous work has reported the role of </w:t>
      </w:r>
      <w:proofErr w:type="spellStart"/>
      <w:r w:rsidR="009A5E17">
        <w:rPr>
          <w:rFonts w:ascii="Times New Roman" w:hAnsi="Times New Roman" w:cs="Times New Roman"/>
        </w:rPr>
        <w:t>Dexamethasone</w:t>
      </w:r>
      <w:proofErr w:type="spellEnd"/>
      <w:r w:rsidR="00CA398B">
        <w:rPr>
          <w:rFonts w:ascii="Times New Roman" w:hAnsi="Times New Roman" w:cs="Times New Roman"/>
        </w:rPr>
        <w:t xml:space="preserve"> (DEX)</w:t>
      </w:r>
      <w:r w:rsidR="009A5E17">
        <w:rPr>
          <w:rFonts w:ascii="Times New Roman" w:hAnsi="Times New Roman" w:cs="Times New Roman"/>
        </w:rPr>
        <w:t xml:space="preserve"> in promoting </w:t>
      </w:r>
      <w:proofErr w:type="spellStart"/>
      <w:r w:rsidR="009A5E17">
        <w:rPr>
          <w:rFonts w:ascii="Times New Roman" w:hAnsi="Times New Roman" w:cs="Times New Roman"/>
        </w:rPr>
        <w:t>chondrocyte</w:t>
      </w:r>
      <w:proofErr w:type="spellEnd"/>
      <w:r w:rsidR="009A5E17">
        <w:rPr>
          <w:rFonts w:ascii="Times New Roman" w:hAnsi="Times New Roman" w:cs="Times New Roman"/>
        </w:rPr>
        <w:t xml:space="preserve"> differentiation </w:t>
      </w:r>
      <w:r w:rsidR="00BB7347">
        <w:rPr>
          <w:rFonts w:ascii="Times New Roman" w:hAnsi="Times New Roman" w:cs="Times New Roman"/>
        </w:rPr>
        <w:t xml:space="preserve">and Collagen </w:t>
      </w:r>
      <w:r w:rsidR="00DC24B6">
        <w:rPr>
          <w:rFonts w:ascii="Times New Roman" w:hAnsi="Times New Roman" w:cs="Times New Roman"/>
        </w:rPr>
        <w:t>II</w:t>
      </w:r>
      <w:r w:rsidR="00BB7347">
        <w:rPr>
          <w:rFonts w:ascii="Times New Roman" w:hAnsi="Times New Roman" w:cs="Times New Roman"/>
        </w:rPr>
        <w:t xml:space="preserve"> (CNII)</w:t>
      </w:r>
      <w:r w:rsidR="00DC24B6">
        <w:rPr>
          <w:rFonts w:ascii="Times New Roman" w:hAnsi="Times New Roman" w:cs="Times New Roman"/>
        </w:rPr>
        <w:t xml:space="preserve"> production (1). Alternatively</w:t>
      </w:r>
      <w:r w:rsidR="009A5E17">
        <w:rPr>
          <w:rFonts w:ascii="Times New Roman" w:hAnsi="Times New Roman" w:cs="Times New Roman"/>
        </w:rPr>
        <w:t xml:space="preserve">, Yamashita et </w:t>
      </w:r>
      <w:r w:rsidR="00CA398B">
        <w:rPr>
          <w:rFonts w:ascii="Times New Roman" w:hAnsi="Times New Roman" w:cs="Times New Roman"/>
        </w:rPr>
        <w:t xml:space="preserve">al (2) have suggested </w:t>
      </w:r>
      <w:r w:rsidR="000914B9">
        <w:rPr>
          <w:rFonts w:ascii="Times New Roman" w:hAnsi="Times New Roman" w:cs="Times New Roman"/>
        </w:rPr>
        <w:t xml:space="preserve">that </w:t>
      </w:r>
      <w:r w:rsidR="00CA398B">
        <w:rPr>
          <w:rFonts w:ascii="Times New Roman" w:hAnsi="Times New Roman" w:cs="Times New Roman"/>
        </w:rPr>
        <w:t xml:space="preserve">DEX </w:t>
      </w:r>
      <w:r w:rsidR="00BB7347">
        <w:rPr>
          <w:rFonts w:ascii="Times New Roman" w:hAnsi="Times New Roman" w:cs="Times New Roman"/>
        </w:rPr>
        <w:t>can cause</w:t>
      </w:r>
      <w:r w:rsidR="009A5E17">
        <w:rPr>
          <w:rFonts w:ascii="Times New Roman" w:hAnsi="Times New Roman" w:cs="Times New Roman"/>
        </w:rPr>
        <w:t xml:space="preserve"> inhibition of </w:t>
      </w:r>
      <w:r w:rsidR="00CA398B">
        <w:rPr>
          <w:rFonts w:ascii="Times New Roman" w:hAnsi="Times New Roman" w:cs="Times New Roman"/>
        </w:rPr>
        <w:t>TGF-</w:t>
      </w:r>
      <w:r w:rsidR="00CA398B" w:rsidRPr="00CA398B">
        <w:rPr>
          <w:rFonts w:ascii="Times New Roman" w:hAnsi="Times New Roman" w:cs="Times New Roman"/>
        </w:rPr>
        <w:t>β-induced cell growth and type II collagen mRNA expression</w:t>
      </w:r>
      <w:r w:rsidR="00CA398B">
        <w:rPr>
          <w:rFonts w:ascii="Times New Roman" w:hAnsi="Times New Roman" w:cs="Times New Roman"/>
        </w:rPr>
        <w:t xml:space="preserve">. We were, therefore, interested in observing the effects of no DEX </w:t>
      </w:r>
      <w:r w:rsidR="001119D6">
        <w:rPr>
          <w:rFonts w:ascii="Times New Roman" w:hAnsi="Times New Roman" w:cs="Times New Roman"/>
        </w:rPr>
        <w:t>(</w:t>
      </w:r>
      <w:proofErr w:type="gramStart"/>
      <w:r w:rsidR="001119D6">
        <w:rPr>
          <w:rFonts w:ascii="Times New Roman" w:hAnsi="Times New Roman" w:cs="Times New Roman"/>
        </w:rPr>
        <w:t>0μM )</w:t>
      </w:r>
      <w:proofErr w:type="gramEnd"/>
      <w:r w:rsidR="0041783C">
        <w:rPr>
          <w:rFonts w:ascii="Times New Roman" w:hAnsi="Times New Roman" w:cs="Times New Roman"/>
        </w:rPr>
        <w:t xml:space="preserve"> </w:t>
      </w:r>
      <w:r w:rsidR="00CA398B">
        <w:rPr>
          <w:rFonts w:ascii="Times New Roman" w:hAnsi="Times New Roman" w:cs="Times New Roman"/>
        </w:rPr>
        <w:t>and</w:t>
      </w:r>
      <w:r w:rsidR="0041783C">
        <w:rPr>
          <w:rFonts w:ascii="Times New Roman" w:hAnsi="Times New Roman" w:cs="Times New Roman"/>
        </w:rPr>
        <w:t xml:space="preserve"> three-folds t</w:t>
      </w:r>
      <w:r w:rsidR="00CA398B">
        <w:rPr>
          <w:rFonts w:ascii="Times New Roman" w:hAnsi="Times New Roman" w:cs="Times New Roman"/>
        </w:rPr>
        <w:t xml:space="preserve">he regular concentration of DEX </w:t>
      </w:r>
      <w:r w:rsidR="001119D6">
        <w:rPr>
          <w:rFonts w:ascii="Times New Roman" w:hAnsi="Times New Roman" w:cs="Times New Roman"/>
        </w:rPr>
        <w:t xml:space="preserve">(300μM) </w:t>
      </w:r>
      <w:r w:rsidR="00CA398B">
        <w:rPr>
          <w:rFonts w:ascii="Times New Roman" w:hAnsi="Times New Roman" w:cs="Times New Roman"/>
        </w:rPr>
        <w:t xml:space="preserve">in stem cell culture </w:t>
      </w:r>
      <w:r w:rsidR="0041783C">
        <w:rPr>
          <w:rFonts w:ascii="Times New Roman" w:hAnsi="Times New Roman" w:cs="Times New Roman"/>
        </w:rPr>
        <w:t xml:space="preserve">on </w:t>
      </w:r>
      <w:proofErr w:type="spellStart"/>
      <w:r w:rsidR="0041783C">
        <w:rPr>
          <w:rFonts w:ascii="Times New Roman" w:hAnsi="Times New Roman" w:cs="Times New Roman"/>
        </w:rPr>
        <w:t>chondrocyte</w:t>
      </w:r>
      <w:proofErr w:type="spellEnd"/>
      <w:r w:rsidR="0041783C">
        <w:rPr>
          <w:rFonts w:ascii="Times New Roman" w:hAnsi="Times New Roman" w:cs="Times New Roman"/>
        </w:rPr>
        <w:t xml:space="preserve"> differentiation in </w:t>
      </w:r>
      <w:proofErr w:type="spellStart"/>
      <w:r w:rsidR="0041783C">
        <w:rPr>
          <w:rFonts w:ascii="Times New Roman" w:hAnsi="Times New Roman" w:cs="Times New Roman"/>
        </w:rPr>
        <w:t>mesenchymal</w:t>
      </w:r>
      <w:proofErr w:type="spellEnd"/>
      <w:r w:rsidR="0041783C">
        <w:rPr>
          <w:rFonts w:ascii="Times New Roman" w:hAnsi="Times New Roman" w:cs="Times New Roman"/>
        </w:rPr>
        <w:t xml:space="preserve"> stem cells (MES). We </w:t>
      </w:r>
      <w:r w:rsidR="00DD7BF8">
        <w:rPr>
          <w:rFonts w:ascii="Times New Roman" w:hAnsi="Times New Roman" w:cs="Times New Roman"/>
        </w:rPr>
        <w:t xml:space="preserve">based our evaluation of </w:t>
      </w:r>
      <w:proofErr w:type="spellStart"/>
      <w:r w:rsidR="00DD7BF8">
        <w:rPr>
          <w:rFonts w:ascii="Times New Roman" w:hAnsi="Times New Roman" w:cs="Times New Roman"/>
        </w:rPr>
        <w:t>chondrocyte</w:t>
      </w:r>
      <w:proofErr w:type="spellEnd"/>
      <w:r w:rsidR="00DD7BF8">
        <w:rPr>
          <w:rFonts w:ascii="Times New Roman" w:hAnsi="Times New Roman" w:cs="Times New Roman"/>
        </w:rPr>
        <w:t xml:space="preserve"> phenotype development on transcript and protein levels of Collagen I</w:t>
      </w:r>
      <w:r w:rsidR="00A2040C">
        <w:rPr>
          <w:rFonts w:ascii="Times New Roman" w:hAnsi="Times New Roman" w:cs="Times New Roman"/>
        </w:rPr>
        <w:t xml:space="preserve"> (CNI)</w:t>
      </w:r>
      <w:r w:rsidR="00DD7BF8">
        <w:rPr>
          <w:rFonts w:ascii="Times New Roman" w:hAnsi="Times New Roman" w:cs="Times New Roman"/>
        </w:rPr>
        <w:t xml:space="preserve"> and Collagen II</w:t>
      </w:r>
      <w:r w:rsidR="00A2040C">
        <w:rPr>
          <w:rFonts w:ascii="Times New Roman" w:hAnsi="Times New Roman" w:cs="Times New Roman"/>
        </w:rPr>
        <w:t xml:space="preserve"> (CNII)</w:t>
      </w:r>
      <w:r w:rsidR="00DD7BF8">
        <w:rPr>
          <w:rFonts w:ascii="Times New Roman" w:hAnsi="Times New Roman" w:cs="Times New Roman"/>
        </w:rPr>
        <w:t xml:space="preserve">. Previous work has also suggested that </w:t>
      </w:r>
      <w:r w:rsidR="00F22AEC">
        <w:rPr>
          <w:rFonts w:ascii="Times New Roman" w:hAnsi="Times New Roman" w:cs="Times New Roman"/>
        </w:rPr>
        <w:t xml:space="preserve">SOX9, a transcription factor that activates type II </w:t>
      </w:r>
      <w:proofErr w:type="spellStart"/>
      <w:r w:rsidR="00F22AEC">
        <w:rPr>
          <w:rFonts w:ascii="Times New Roman" w:hAnsi="Times New Roman" w:cs="Times New Roman"/>
        </w:rPr>
        <w:t>procollagen</w:t>
      </w:r>
      <w:proofErr w:type="spellEnd"/>
      <w:r w:rsidR="00F22AEC">
        <w:rPr>
          <w:rFonts w:ascii="Times New Roman" w:hAnsi="Times New Roman" w:cs="Times New Roman"/>
        </w:rPr>
        <w:t xml:space="preserve"> expression during </w:t>
      </w:r>
      <w:proofErr w:type="spellStart"/>
      <w:r w:rsidR="00F22AEC">
        <w:rPr>
          <w:rFonts w:ascii="Times New Roman" w:hAnsi="Times New Roman" w:cs="Times New Roman"/>
        </w:rPr>
        <w:t>chondrocyte</w:t>
      </w:r>
      <w:proofErr w:type="spellEnd"/>
      <w:r w:rsidR="00F22AEC">
        <w:rPr>
          <w:rFonts w:ascii="Times New Roman" w:hAnsi="Times New Roman" w:cs="Times New Roman"/>
        </w:rPr>
        <w:t xml:space="preserve"> differentiation, is enhanced by DEX</w:t>
      </w:r>
      <w:r w:rsidR="00834603">
        <w:rPr>
          <w:rFonts w:ascii="Times New Roman" w:hAnsi="Times New Roman" w:cs="Times New Roman"/>
        </w:rPr>
        <w:t xml:space="preserve"> (3</w:t>
      </w:r>
      <w:r w:rsidR="007852CA">
        <w:rPr>
          <w:rFonts w:ascii="Times New Roman" w:hAnsi="Times New Roman" w:cs="Times New Roman"/>
        </w:rPr>
        <w:t>). We planned our experiment to test</w:t>
      </w:r>
      <w:r w:rsidR="00F22AEC">
        <w:rPr>
          <w:rFonts w:ascii="Times New Roman" w:hAnsi="Times New Roman" w:cs="Times New Roman"/>
        </w:rPr>
        <w:t xml:space="preserve"> this claim while determining the effects of DEX on </w:t>
      </w:r>
      <w:proofErr w:type="spellStart"/>
      <w:r w:rsidR="00F22AEC">
        <w:rPr>
          <w:rFonts w:ascii="Times New Roman" w:hAnsi="Times New Roman" w:cs="Times New Roman"/>
        </w:rPr>
        <w:t>chondrogenesis</w:t>
      </w:r>
      <w:proofErr w:type="spellEnd"/>
      <w:r w:rsidR="00F22AEC">
        <w:rPr>
          <w:rFonts w:ascii="Times New Roman" w:hAnsi="Times New Roman" w:cs="Times New Roman"/>
        </w:rPr>
        <w:t xml:space="preserve">. </w:t>
      </w:r>
      <w:r>
        <w:rPr>
          <w:rFonts w:ascii="Times New Roman" w:hAnsi="Times New Roman" w:cs="Times New Roman"/>
        </w:rPr>
        <w:t xml:space="preserve">We hypothesized that high </w:t>
      </w:r>
      <w:proofErr w:type="spellStart"/>
      <w:r>
        <w:rPr>
          <w:rFonts w:ascii="Times New Roman" w:hAnsi="Times New Roman" w:cs="Times New Roman"/>
        </w:rPr>
        <w:t>Dexamethasone</w:t>
      </w:r>
      <w:proofErr w:type="spellEnd"/>
      <w:r>
        <w:rPr>
          <w:rFonts w:ascii="Times New Roman" w:hAnsi="Times New Roman" w:cs="Times New Roman"/>
        </w:rPr>
        <w:t xml:space="preserve"> would promote </w:t>
      </w:r>
      <w:proofErr w:type="spellStart"/>
      <w:r>
        <w:rPr>
          <w:rFonts w:ascii="Times New Roman" w:hAnsi="Times New Roman" w:cs="Times New Roman"/>
        </w:rPr>
        <w:t>chondrocyte</w:t>
      </w:r>
      <w:proofErr w:type="spellEnd"/>
      <w:r>
        <w:rPr>
          <w:rFonts w:ascii="Times New Roman" w:hAnsi="Times New Roman" w:cs="Times New Roman"/>
        </w:rPr>
        <w:t xml:space="preserve"> differentiation through enhancement of SOX9 and, therefore, expected to see an increase in SOX9 levels and hig</w:t>
      </w:r>
      <w:r w:rsidR="00541185">
        <w:rPr>
          <w:rFonts w:ascii="Times New Roman" w:hAnsi="Times New Roman" w:cs="Times New Roman"/>
        </w:rPr>
        <w:t xml:space="preserve">her </w:t>
      </w:r>
      <w:proofErr w:type="spellStart"/>
      <w:r w:rsidR="00541185">
        <w:rPr>
          <w:rFonts w:ascii="Times New Roman" w:hAnsi="Times New Roman" w:cs="Times New Roman"/>
        </w:rPr>
        <w:t>chondrocyte</w:t>
      </w:r>
      <w:proofErr w:type="spellEnd"/>
      <w:r w:rsidR="00541185">
        <w:rPr>
          <w:rFonts w:ascii="Times New Roman" w:hAnsi="Times New Roman" w:cs="Times New Roman"/>
        </w:rPr>
        <w:t xml:space="preserve"> differentiation</w:t>
      </w:r>
      <w:r w:rsidR="007852CA">
        <w:rPr>
          <w:rFonts w:ascii="Times New Roman" w:hAnsi="Times New Roman" w:cs="Times New Roman"/>
        </w:rPr>
        <w:t xml:space="preserve"> </w:t>
      </w:r>
      <w:r>
        <w:rPr>
          <w:rFonts w:ascii="Times New Roman" w:hAnsi="Times New Roman" w:cs="Times New Roman"/>
        </w:rPr>
        <w:t xml:space="preserve">in the </w:t>
      </w:r>
      <w:proofErr w:type="spellStart"/>
      <w:r>
        <w:rPr>
          <w:rFonts w:ascii="Times New Roman" w:hAnsi="Times New Roman" w:cs="Times New Roman"/>
        </w:rPr>
        <w:t>MSCs</w:t>
      </w:r>
      <w:proofErr w:type="spellEnd"/>
      <w:r>
        <w:rPr>
          <w:rFonts w:ascii="Times New Roman" w:hAnsi="Times New Roman" w:cs="Times New Roman"/>
        </w:rPr>
        <w:t xml:space="preserve"> grown in a higher concentration of </w:t>
      </w:r>
      <w:proofErr w:type="spellStart"/>
      <w:r>
        <w:rPr>
          <w:rFonts w:ascii="Times New Roman" w:hAnsi="Times New Roman" w:cs="Times New Roman"/>
        </w:rPr>
        <w:t>Dexamethasone</w:t>
      </w:r>
      <w:proofErr w:type="spellEnd"/>
      <w:r>
        <w:rPr>
          <w:rFonts w:ascii="Times New Roman" w:hAnsi="Times New Roman" w:cs="Times New Roman"/>
        </w:rPr>
        <w:t>.</w:t>
      </w:r>
    </w:p>
    <w:p w:rsidR="007974B6" w:rsidRPr="00A30F91" w:rsidRDefault="007974B6" w:rsidP="007974B6">
      <w:pPr>
        <w:widowControl w:val="0"/>
        <w:autoSpaceDE w:val="0"/>
        <w:autoSpaceDN w:val="0"/>
        <w:adjustRightInd w:val="0"/>
        <w:spacing w:line="480" w:lineRule="auto"/>
        <w:rPr>
          <w:rFonts w:ascii="Times New Roman" w:hAnsi="Times New Roman" w:cs="Times New Roman"/>
          <w:b/>
          <w:u w:val="single"/>
        </w:rPr>
      </w:pPr>
      <w:r w:rsidRPr="00A30F91">
        <w:rPr>
          <w:rFonts w:ascii="Times New Roman" w:hAnsi="Times New Roman" w:cs="Times New Roman"/>
          <w:b/>
          <w:u w:val="single"/>
        </w:rPr>
        <w:t>Results</w:t>
      </w:r>
    </w:p>
    <w:p w:rsidR="007974B6" w:rsidRDefault="007974B6" w:rsidP="003B6413">
      <w:pPr>
        <w:widowControl w:val="0"/>
        <w:autoSpaceDE w:val="0"/>
        <w:autoSpaceDN w:val="0"/>
        <w:adjustRightInd w:val="0"/>
        <w:spacing w:line="480" w:lineRule="auto"/>
        <w:ind w:firstLine="720"/>
        <w:rPr>
          <w:rFonts w:ascii="Times New Roman" w:hAnsi="Times New Roman" w:cs="Times New Roman"/>
        </w:rPr>
      </w:pPr>
      <w:proofErr w:type="spellStart"/>
      <w:r>
        <w:rPr>
          <w:rFonts w:ascii="Times New Roman" w:hAnsi="Times New Roman" w:cs="Times New Roman"/>
        </w:rPr>
        <w:t>MSCs</w:t>
      </w:r>
      <w:proofErr w:type="spellEnd"/>
      <w:r>
        <w:rPr>
          <w:rFonts w:ascii="Times New Roman" w:hAnsi="Times New Roman" w:cs="Times New Roman"/>
        </w:rPr>
        <w:t xml:space="preserve"> (at a density of 1.75 * 10^6 cells/</w:t>
      </w:r>
      <w:proofErr w:type="spellStart"/>
      <w:r>
        <w:rPr>
          <w:rFonts w:ascii="Times New Roman" w:hAnsi="Times New Roman" w:cs="Times New Roman"/>
        </w:rPr>
        <w:t>mL</w:t>
      </w:r>
      <w:proofErr w:type="spellEnd"/>
      <w:r>
        <w:rPr>
          <w:rFonts w:ascii="Times New Roman" w:hAnsi="Times New Roman" w:cs="Times New Roman"/>
        </w:rPr>
        <w:t xml:space="preserve">) were grown in alginate scaffolds </w:t>
      </w:r>
      <w:r w:rsidR="0068442F">
        <w:rPr>
          <w:rFonts w:ascii="Times New Roman" w:hAnsi="Times New Roman" w:cs="Times New Roman"/>
        </w:rPr>
        <w:t xml:space="preserve">(Sigma, 1%) </w:t>
      </w:r>
      <w:r>
        <w:rPr>
          <w:rFonts w:ascii="Times New Roman" w:hAnsi="Times New Roman" w:cs="Times New Roman"/>
        </w:rPr>
        <w:t>in two separate samples, containin</w:t>
      </w:r>
      <w:r w:rsidR="0068442F">
        <w:rPr>
          <w:rFonts w:ascii="Times New Roman" w:hAnsi="Times New Roman" w:cs="Times New Roman"/>
        </w:rPr>
        <w:t>g 0μM and 300μM of DEX</w:t>
      </w:r>
      <w:r>
        <w:rPr>
          <w:rFonts w:ascii="Times New Roman" w:hAnsi="Times New Roman" w:cs="Times New Roman"/>
        </w:rPr>
        <w:t xml:space="preserve"> in their 3D bead cultures, respectively. We aimed to investigate the effects of high and low </w:t>
      </w:r>
      <w:proofErr w:type="spellStart"/>
      <w:r>
        <w:rPr>
          <w:rFonts w:ascii="Times New Roman" w:hAnsi="Times New Roman" w:cs="Times New Roman"/>
        </w:rPr>
        <w:t>Dexamethasone</w:t>
      </w:r>
      <w:proofErr w:type="spellEnd"/>
      <w:r>
        <w:rPr>
          <w:rFonts w:ascii="Times New Roman" w:hAnsi="Times New Roman" w:cs="Times New Roman"/>
        </w:rPr>
        <w:t xml:space="preserve"> concentrations on </w:t>
      </w:r>
      <w:proofErr w:type="spellStart"/>
      <w:r>
        <w:rPr>
          <w:rFonts w:ascii="Times New Roman" w:hAnsi="Times New Roman" w:cs="Times New Roman"/>
        </w:rPr>
        <w:t>chondrocyte</w:t>
      </w:r>
      <w:proofErr w:type="spellEnd"/>
      <w:r>
        <w:rPr>
          <w:rFonts w:ascii="Times New Roman" w:hAnsi="Times New Roman" w:cs="Times New Roman"/>
        </w:rPr>
        <w:t xml:space="preserve"> phenotype induction by observing cell morphology and viability as well as assessing Collagen I, Collagen II and SOX9 levels. </w:t>
      </w:r>
    </w:p>
    <w:p w:rsidR="00E3501A" w:rsidRDefault="007974B6" w:rsidP="0068442F">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We observed effects on cell viability using the Live/Dead® fluorescence assay from Molecular probes, one week after</w:t>
      </w:r>
      <w:r w:rsidR="0068442F">
        <w:rPr>
          <w:rFonts w:ascii="Times New Roman" w:hAnsi="Times New Roman" w:cs="Times New Roman"/>
        </w:rPr>
        <w:t xml:space="preserve"> initiating our cell </w:t>
      </w:r>
      <w:proofErr w:type="spellStart"/>
      <w:r w:rsidR="0068442F">
        <w:rPr>
          <w:rFonts w:ascii="Times New Roman" w:hAnsi="Times New Roman" w:cs="Times New Roman"/>
        </w:rPr>
        <w:t>cultures</w:t>
      </w:r>
      <w:proofErr w:type="spellEnd"/>
      <w:r w:rsidR="0068442F">
        <w:rPr>
          <w:rFonts w:ascii="Times New Roman" w:hAnsi="Times New Roman" w:cs="Times New Roman"/>
        </w:rPr>
        <w:t>.</w:t>
      </w:r>
      <w:r w:rsidR="00641441">
        <w:rPr>
          <w:rFonts w:ascii="Times New Roman" w:hAnsi="Times New Roman" w:cs="Times New Roman"/>
        </w:rPr>
        <w:t xml:space="preserve"> T</w:t>
      </w:r>
      <w:r>
        <w:rPr>
          <w:rFonts w:ascii="Times New Roman" w:hAnsi="Times New Roman" w:cs="Times New Roman"/>
        </w:rPr>
        <w:t>he cells, as observed under the fluorescence microscope, appeared mostly alive, round an</w:t>
      </w:r>
      <w:r w:rsidR="0068442F">
        <w:rPr>
          <w:rFonts w:ascii="Times New Roman" w:hAnsi="Times New Roman" w:cs="Times New Roman"/>
        </w:rPr>
        <w:t>d fairly dense, in both the low</w:t>
      </w:r>
      <w:r w:rsidR="00A2040C">
        <w:rPr>
          <w:rFonts w:ascii="Times New Roman" w:hAnsi="Times New Roman" w:cs="Times New Roman"/>
        </w:rPr>
        <w:t xml:space="preserve"> DEX</w:t>
      </w:r>
      <w:r w:rsidR="0068442F">
        <w:rPr>
          <w:rFonts w:ascii="Times New Roman" w:hAnsi="Times New Roman" w:cs="Times New Roman"/>
        </w:rPr>
        <w:t xml:space="preserve"> (Figure 1a) and high</w:t>
      </w:r>
      <w:r w:rsidR="00A2040C">
        <w:rPr>
          <w:rFonts w:ascii="Times New Roman" w:hAnsi="Times New Roman" w:cs="Times New Roman"/>
        </w:rPr>
        <w:t xml:space="preserve"> DEX</w:t>
      </w:r>
      <w:r>
        <w:rPr>
          <w:rFonts w:ascii="Times New Roman" w:hAnsi="Times New Roman" w:cs="Times New Roman"/>
        </w:rPr>
        <w:t xml:space="preserve"> </w:t>
      </w:r>
      <w:r w:rsidR="0068442F">
        <w:rPr>
          <w:rFonts w:ascii="Times New Roman" w:hAnsi="Times New Roman" w:cs="Times New Roman"/>
        </w:rPr>
        <w:t xml:space="preserve">(Figure 1b) </w:t>
      </w:r>
      <w:r>
        <w:rPr>
          <w:rFonts w:ascii="Times New Roman" w:hAnsi="Times New Roman" w:cs="Times New Roman"/>
        </w:rPr>
        <w:t>samples</w:t>
      </w:r>
      <w:r w:rsidR="00BB7347">
        <w:rPr>
          <w:rFonts w:ascii="Times New Roman" w:hAnsi="Times New Roman" w:cs="Times New Roman"/>
        </w:rPr>
        <w:t xml:space="preserve"> as determined by us</w:t>
      </w:r>
      <w:r w:rsidR="00D54180">
        <w:rPr>
          <w:rFonts w:ascii="Times New Roman" w:hAnsi="Times New Roman" w:cs="Times New Roman"/>
        </w:rPr>
        <w:t>ing the SYTO 10 dye (left, figure 1</w:t>
      </w:r>
      <w:r w:rsidR="00BB7347">
        <w:rPr>
          <w:rFonts w:ascii="Times New Roman" w:hAnsi="Times New Roman" w:cs="Times New Roman"/>
        </w:rPr>
        <w:t xml:space="preserve">) and </w:t>
      </w:r>
      <w:proofErr w:type="spellStart"/>
      <w:r w:rsidR="00D54180">
        <w:rPr>
          <w:rFonts w:ascii="Times New Roman" w:hAnsi="Times New Roman" w:cs="Times New Roman"/>
        </w:rPr>
        <w:t>Ethidium</w:t>
      </w:r>
      <w:proofErr w:type="spellEnd"/>
      <w:r w:rsidR="00D54180">
        <w:rPr>
          <w:rFonts w:ascii="Times New Roman" w:hAnsi="Times New Roman" w:cs="Times New Roman"/>
        </w:rPr>
        <w:t xml:space="preserve"> dye (right, figure 1)</w:t>
      </w:r>
      <w:r>
        <w:rPr>
          <w:rFonts w:ascii="Times New Roman" w:hAnsi="Times New Roman" w:cs="Times New Roman"/>
        </w:rPr>
        <w:t>. Thus, we did not determine any significant changes in cell viability, morphology or density due to the high or lo</w:t>
      </w:r>
      <w:r w:rsidR="00A2040C">
        <w:rPr>
          <w:rFonts w:ascii="Times New Roman" w:hAnsi="Times New Roman" w:cs="Times New Roman"/>
        </w:rPr>
        <w:t>w concentration of DEX</w:t>
      </w:r>
      <w:r>
        <w:rPr>
          <w:rFonts w:ascii="Times New Roman" w:hAnsi="Times New Roman" w:cs="Times New Roman"/>
        </w:rPr>
        <w:t xml:space="preserve"> using this assay. </w:t>
      </w:r>
    </w:p>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7A0226" w:rsidRDefault="007A0226" w:rsidP="00E3501A"/>
    <w:p w:rsidR="00E3501A" w:rsidRDefault="00E3501A" w:rsidP="00E3501A">
      <w:r>
        <w:t xml:space="preserve">a) O </w:t>
      </w:r>
      <w:proofErr w:type="spellStart"/>
      <w:r>
        <w:t>Dex</w:t>
      </w:r>
      <w:proofErr w:type="spellEnd"/>
    </w:p>
    <w:p w:rsidR="00E3501A" w:rsidRDefault="00E3501A" w:rsidP="00E3501A">
      <w:r>
        <w:tab/>
      </w:r>
    </w:p>
    <w:p w:rsidR="00E3501A" w:rsidRDefault="00E3501A" w:rsidP="00E3501A">
      <w:r w:rsidRPr="00320F4B">
        <w:rPr>
          <w:noProof/>
        </w:rPr>
        <w:drawing>
          <wp:inline distT="0" distB="0" distL="0" distR="0">
            <wp:extent cx="2755900" cy="280670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755900" cy="2806700"/>
                    </a:xfrm>
                    <a:prstGeom prst="rect">
                      <a:avLst/>
                    </a:prstGeom>
                    <a:noFill/>
                    <a:ln w="9525">
                      <a:noFill/>
                      <a:miter lim="800000"/>
                      <a:headEnd/>
                      <a:tailEnd/>
                    </a:ln>
                  </pic:spPr>
                </pic:pic>
              </a:graphicData>
            </a:graphic>
          </wp:inline>
        </w:drawing>
      </w:r>
      <w:r w:rsidRPr="00320F4B">
        <w:rPr>
          <w:noProof/>
        </w:rPr>
        <w:drawing>
          <wp:inline distT="0" distB="0" distL="0" distR="0">
            <wp:extent cx="2578100" cy="2832100"/>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578100" cy="2832100"/>
                    </a:xfrm>
                    <a:prstGeom prst="rect">
                      <a:avLst/>
                    </a:prstGeom>
                    <a:noFill/>
                    <a:ln w="9525">
                      <a:noFill/>
                      <a:miter lim="800000"/>
                      <a:headEnd/>
                      <a:tailEnd/>
                    </a:ln>
                  </pic:spPr>
                </pic:pic>
              </a:graphicData>
            </a:graphic>
          </wp:inline>
        </w:drawing>
      </w:r>
    </w:p>
    <w:p w:rsidR="00E3501A" w:rsidRDefault="00E3501A" w:rsidP="00E3501A"/>
    <w:p w:rsidR="00E3501A" w:rsidRDefault="00E3501A" w:rsidP="00E3501A"/>
    <w:p w:rsidR="00E3501A" w:rsidRDefault="00E3501A" w:rsidP="00E3501A">
      <w:proofErr w:type="gramStart"/>
      <w:r>
        <w:t>b)300</w:t>
      </w:r>
      <w:proofErr w:type="gramEnd"/>
      <w:r>
        <w:t xml:space="preserve"> </w:t>
      </w:r>
      <w:proofErr w:type="spellStart"/>
      <w:r>
        <w:t>Dex</w:t>
      </w:r>
      <w:proofErr w:type="spellEnd"/>
    </w:p>
    <w:p w:rsidR="00E3501A" w:rsidRDefault="00E3501A" w:rsidP="00E3501A"/>
    <w:p w:rsidR="00E3501A" w:rsidRDefault="00E3501A" w:rsidP="00E3501A">
      <w:pPr>
        <w:tabs>
          <w:tab w:val="right" w:pos="8640"/>
        </w:tabs>
      </w:pPr>
      <w:r>
        <w:rPr>
          <w:noProof/>
        </w:rPr>
        <w:drawing>
          <wp:inline distT="0" distB="0" distL="0" distR="0">
            <wp:extent cx="2768600" cy="2882900"/>
            <wp:effectExtent l="2540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768600" cy="2882900"/>
                    </a:xfrm>
                    <a:prstGeom prst="rect">
                      <a:avLst/>
                    </a:prstGeom>
                    <a:noFill/>
                    <a:ln w="9525">
                      <a:noFill/>
                      <a:miter lim="800000"/>
                      <a:headEnd/>
                      <a:tailEnd/>
                    </a:ln>
                  </pic:spPr>
                </pic:pic>
              </a:graphicData>
            </a:graphic>
          </wp:inline>
        </w:drawing>
      </w:r>
      <w:r>
        <w:tab/>
      </w:r>
      <w:r>
        <w:rPr>
          <w:noProof/>
        </w:rPr>
        <w:drawing>
          <wp:inline distT="0" distB="0" distL="0" distR="0">
            <wp:extent cx="5486400" cy="2882900"/>
            <wp:effectExtent l="2540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486400" cy="2882900"/>
                    </a:xfrm>
                    <a:prstGeom prst="rect">
                      <a:avLst/>
                    </a:prstGeom>
                    <a:noFill/>
                    <a:ln w="9525">
                      <a:noFill/>
                      <a:miter lim="800000"/>
                      <a:headEnd/>
                      <a:tailEnd/>
                    </a:ln>
                  </pic:spPr>
                </pic:pic>
              </a:graphicData>
            </a:graphic>
          </wp:inline>
        </w:drawing>
      </w:r>
    </w:p>
    <w:p w:rsidR="007974B6" w:rsidRDefault="00E3501A" w:rsidP="0068442F">
      <w:pPr>
        <w:widowControl w:val="0"/>
        <w:autoSpaceDE w:val="0"/>
        <w:autoSpaceDN w:val="0"/>
        <w:adjustRightInd w:val="0"/>
        <w:spacing w:line="480" w:lineRule="auto"/>
        <w:ind w:firstLine="720"/>
        <w:rPr>
          <w:rFonts w:ascii="Times New Roman" w:hAnsi="Times New Roman" w:cs="Times New Roman"/>
        </w:rPr>
      </w:pPr>
      <w:r>
        <w:rPr>
          <w:noProof/>
        </w:rPr>
        <w:pict>
          <v:shapetype id="_x0000_t202" coordsize="21600,21600" o:spt="202" path="m0,0l0,21600,21600,21600,21600,0xe">
            <v:stroke joinstyle="miter"/>
            <v:path gradientshapeok="t" o:connecttype="rect"/>
          </v:shapetype>
          <v:shape id="_x0000_s1026" type="#_x0000_t202" style="position:absolute;left:0;text-align:left;margin-left:.25pt;margin-top:26.6pt;width:441.75pt;height:135pt;z-index:251660288;mso-wrap-edited:f;mso-position-horizontal:absolute;mso-position-vertical:absolute" wrapcoords="0 0 21600 0 21600 21600 0 21600 0 0" filled="f" stroked="f">
            <v:fill o:detectmouseclick="t"/>
            <v:textbox inset=",7.2pt,,7.2pt">
              <w:txbxContent>
                <w:p w:rsidR="008031F0" w:rsidRDefault="008031F0" w:rsidP="00E3501A">
                  <w:r w:rsidRPr="00E3501A">
                    <w:rPr>
                      <w:b/>
                    </w:rPr>
                    <w:t xml:space="preserve">Figure 1:  Cell viability was determined to be similar for O </w:t>
                  </w:r>
                  <w:proofErr w:type="spellStart"/>
                  <w:r w:rsidRPr="00E3501A">
                    <w:rPr>
                      <w:b/>
                    </w:rPr>
                    <w:t>Dex</w:t>
                  </w:r>
                  <w:proofErr w:type="spellEnd"/>
                  <w:r w:rsidRPr="00E3501A">
                    <w:rPr>
                      <w:b/>
                    </w:rPr>
                    <w:t xml:space="preserve"> and 300 </w:t>
                  </w:r>
                  <w:proofErr w:type="spellStart"/>
                  <w:r w:rsidRPr="00E3501A">
                    <w:rPr>
                      <w:b/>
                    </w:rPr>
                    <w:t>Dex</w:t>
                  </w:r>
                  <w:proofErr w:type="spellEnd"/>
                  <w:r w:rsidRPr="00E3501A">
                    <w:rPr>
                      <w:b/>
                    </w:rPr>
                    <w:t xml:space="preserve"> samples using Live/Dead Assay.</w:t>
                  </w:r>
                  <w:r>
                    <w:t xml:space="preserve">  Cell viability was monitored for O </w:t>
                  </w:r>
                  <w:proofErr w:type="spellStart"/>
                  <w:r>
                    <w:t>Dex</w:t>
                  </w:r>
                  <w:proofErr w:type="spellEnd"/>
                  <w:r>
                    <w:t xml:space="preserve"> (a) and 300 </w:t>
                  </w:r>
                  <w:proofErr w:type="spellStart"/>
                  <w:r>
                    <w:t>Dex</w:t>
                  </w:r>
                  <w:proofErr w:type="spellEnd"/>
                  <w:r>
                    <w:t xml:space="preserve"> (b) samples using SYT0 10 dye (left) and </w:t>
                  </w:r>
                  <w:proofErr w:type="spellStart"/>
                  <w:r>
                    <w:t>Ethidium</w:t>
                  </w:r>
                  <w:proofErr w:type="spellEnd"/>
                  <w:r>
                    <w:t xml:space="preserve"> dye (right). Fluorescence is emitted in both the green and red (left) and only red channels (right) in both (a) and (b).  The photographs exhibit similar viability (mostly alive) and density (fairly dense) traits for both 0 </w:t>
                  </w:r>
                  <w:proofErr w:type="spellStart"/>
                  <w:r>
                    <w:t>Dex</w:t>
                  </w:r>
                  <w:proofErr w:type="spellEnd"/>
                  <w:r>
                    <w:t xml:space="preserve"> and 300 </w:t>
                  </w:r>
                  <w:proofErr w:type="spellStart"/>
                  <w:r>
                    <w:t>Dex</w:t>
                  </w:r>
                  <w:proofErr w:type="spellEnd"/>
                  <w:r>
                    <w:t xml:space="preserve"> samples.</w:t>
                  </w:r>
                </w:p>
              </w:txbxContent>
            </v:textbox>
            <w10:wrap type="tight"/>
          </v:shape>
        </w:pict>
      </w:r>
    </w:p>
    <w:p w:rsidR="007974B6" w:rsidRDefault="007974B6" w:rsidP="007974B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We proceeded to collect data for our stem cell phenotype </w:t>
      </w:r>
      <w:proofErr w:type="spellStart"/>
      <w:r>
        <w:rPr>
          <w:rFonts w:ascii="Times New Roman" w:hAnsi="Times New Roman" w:cs="Times New Roman"/>
        </w:rPr>
        <w:t>experiment</w:t>
      </w:r>
      <w:proofErr w:type="spellEnd"/>
      <w:r>
        <w:rPr>
          <w:rFonts w:ascii="Times New Roman" w:hAnsi="Times New Roman" w:cs="Times New Roman"/>
        </w:rPr>
        <w:t xml:space="preserve">. After another 5 days, the cell </w:t>
      </w:r>
      <w:proofErr w:type="spellStart"/>
      <w:r>
        <w:rPr>
          <w:rFonts w:ascii="Times New Roman" w:hAnsi="Times New Roman" w:cs="Times New Roman"/>
        </w:rPr>
        <w:t>lysates</w:t>
      </w:r>
      <w:proofErr w:type="spellEnd"/>
      <w:r>
        <w:rPr>
          <w:rFonts w:ascii="Times New Roman" w:hAnsi="Times New Roman" w:cs="Times New Roman"/>
        </w:rPr>
        <w:t xml:space="preserve"> were prepared and the cell counts for the two samples were de</w:t>
      </w:r>
      <w:r w:rsidR="00A2040C">
        <w:rPr>
          <w:rFonts w:ascii="Times New Roman" w:hAnsi="Times New Roman" w:cs="Times New Roman"/>
        </w:rPr>
        <w:t>termined (10^5 cells/</w:t>
      </w:r>
      <w:proofErr w:type="spellStart"/>
      <w:r w:rsidR="00A2040C">
        <w:rPr>
          <w:rFonts w:ascii="Times New Roman" w:hAnsi="Times New Roman" w:cs="Times New Roman"/>
        </w:rPr>
        <w:t>mL</w:t>
      </w:r>
      <w:proofErr w:type="spellEnd"/>
      <w:r w:rsidR="00A2040C">
        <w:rPr>
          <w:rFonts w:ascii="Times New Roman" w:hAnsi="Times New Roman" w:cs="Times New Roman"/>
        </w:rPr>
        <w:t xml:space="preserve"> in 0 DEX, 1.44 * 10^5cells/mL in 300 DEX</w:t>
      </w:r>
      <w:r>
        <w:rPr>
          <w:rFonts w:ascii="Times New Roman" w:hAnsi="Times New Roman" w:cs="Times New Roman"/>
        </w:rPr>
        <w:t xml:space="preserve">). The counts suggested that the cell viability was unaffected by </w:t>
      </w:r>
      <w:proofErr w:type="spellStart"/>
      <w:r>
        <w:rPr>
          <w:rFonts w:ascii="Times New Roman" w:hAnsi="Times New Roman" w:cs="Times New Roman"/>
        </w:rPr>
        <w:t>Dexamethasone</w:t>
      </w:r>
      <w:proofErr w:type="spellEnd"/>
      <w:r>
        <w:rPr>
          <w:rFonts w:ascii="Times New Roman" w:hAnsi="Times New Roman" w:cs="Times New Roman"/>
        </w:rPr>
        <w:t xml:space="preserve"> concentration. RNA was isolated from the cell </w:t>
      </w:r>
      <w:proofErr w:type="spellStart"/>
      <w:r>
        <w:rPr>
          <w:rFonts w:ascii="Times New Roman" w:hAnsi="Times New Roman" w:cs="Times New Roman"/>
        </w:rPr>
        <w:t>lysates</w:t>
      </w:r>
      <w:proofErr w:type="spellEnd"/>
      <w:r>
        <w:rPr>
          <w:rFonts w:ascii="Times New Roman" w:hAnsi="Times New Roman" w:cs="Times New Roman"/>
        </w:rPr>
        <w:t xml:space="preserve"> to produce </w:t>
      </w:r>
      <w:proofErr w:type="spellStart"/>
      <w:r>
        <w:rPr>
          <w:rFonts w:ascii="Times New Roman" w:hAnsi="Times New Roman" w:cs="Times New Roman"/>
        </w:rPr>
        <w:t>cDNA</w:t>
      </w:r>
      <w:proofErr w:type="spellEnd"/>
      <w:r>
        <w:rPr>
          <w:rFonts w:ascii="Times New Roman" w:hAnsi="Times New Roman" w:cs="Times New Roman"/>
        </w:rPr>
        <w:t xml:space="preserve"> for Collag</w:t>
      </w:r>
      <w:r w:rsidR="00034399">
        <w:rPr>
          <w:rFonts w:ascii="Times New Roman" w:hAnsi="Times New Roman" w:cs="Times New Roman"/>
        </w:rPr>
        <w:t>en I, Collagen II and SOX9 by performing</w:t>
      </w:r>
      <w:r>
        <w:rPr>
          <w:rFonts w:ascii="Times New Roman" w:hAnsi="Times New Roman" w:cs="Times New Roman"/>
        </w:rPr>
        <w:t xml:space="preserve"> RT-PCR</w:t>
      </w:r>
      <w:r w:rsidR="00034399">
        <w:rPr>
          <w:rFonts w:ascii="Times New Roman" w:hAnsi="Times New Roman" w:cs="Times New Roman"/>
        </w:rPr>
        <w:t xml:space="preserve"> for these genes as well as for the GAPDH housekeeping gene</w:t>
      </w:r>
      <w:r w:rsidR="003163D8">
        <w:rPr>
          <w:rFonts w:ascii="Times New Roman" w:hAnsi="Times New Roman" w:cs="Times New Roman"/>
        </w:rPr>
        <w:t xml:space="preserve"> which served </w:t>
      </w:r>
      <w:r w:rsidR="00034399">
        <w:rPr>
          <w:rFonts w:ascii="Times New Roman" w:hAnsi="Times New Roman" w:cs="Times New Roman"/>
        </w:rPr>
        <w:t>as a ‘loading’ control</w:t>
      </w:r>
      <w:r>
        <w:rPr>
          <w:rFonts w:ascii="Times New Roman" w:hAnsi="Times New Roman" w:cs="Times New Roman"/>
        </w:rPr>
        <w:t xml:space="preserve"> (8.3ng of RNA </w:t>
      </w:r>
      <w:r w:rsidR="00EB079A">
        <w:rPr>
          <w:rFonts w:ascii="Times New Roman" w:hAnsi="Times New Roman" w:cs="Times New Roman"/>
        </w:rPr>
        <w:t xml:space="preserve">was </w:t>
      </w:r>
      <w:r>
        <w:rPr>
          <w:rFonts w:ascii="Times New Roman" w:hAnsi="Times New Roman" w:cs="Times New Roman"/>
        </w:rPr>
        <w:t xml:space="preserve">used for each </w:t>
      </w:r>
      <w:proofErr w:type="spellStart"/>
      <w:r>
        <w:rPr>
          <w:rFonts w:ascii="Times New Roman" w:hAnsi="Times New Roman" w:cs="Times New Roman"/>
        </w:rPr>
        <w:t>cDNA</w:t>
      </w:r>
      <w:proofErr w:type="spellEnd"/>
      <w:r>
        <w:rPr>
          <w:rFonts w:ascii="Times New Roman" w:hAnsi="Times New Roman" w:cs="Times New Roman"/>
        </w:rPr>
        <w:t xml:space="preserve"> synthesis</w:t>
      </w:r>
      <w:r w:rsidR="00676013">
        <w:rPr>
          <w:rFonts w:ascii="Times New Roman" w:hAnsi="Times New Roman" w:cs="Times New Roman"/>
        </w:rPr>
        <w:t>; A260/A280 values of 1.16 and 1.45 w</w:t>
      </w:r>
      <w:r w:rsidR="008254F5">
        <w:rPr>
          <w:rFonts w:ascii="Times New Roman" w:hAnsi="Times New Roman" w:cs="Times New Roman"/>
        </w:rPr>
        <w:t>ere determined for the 0 DEX and</w:t>
      </w:r>
      <w:r w:rsidR="00676013">
        <w:rPr>
          <w:rFonts w:ascii="Times New Roman" w:hAnsi="Times New Roman" w:cs="Times New Roman"/>
        </w:rPr>
        <w:t xml:space="preserve"> 300 DEX samples</w:t>
      </w:r>
      <w:r w:rsidR="008254F5">
        <w:rPr>
          <w:rFonts w:ascii="Times New Roman" w:hAnsi="Times New Roman" w:cs="Times New Roman"/>
        </w:rPr>
        <w:t xml:space="preserve"> </w:t>
      </w:r>
      <w:r w:rsidR="00676013">
        <w:rPr>
          <w:rFonts w:ascii="Times New Roman" w:hAnsi="Times New Roman" w:cs="Times New Roman"/>
        </w:rPr>
        <w:t>respectively</w:t>
      </w:r>
      <w:r w:rsidR="008254F5">
        <w:rPr>
          <w:rFonts w:ascii="Times New Roman" w:hAnsi="Times New Roman" w:cs="Times New Roman"/>
        </w:rPr>
        <w:t>, implying the presence of impurities with the RNA</w:t>
      </w:r>
      <w:r>
        <w:rPr>
          <w:rFonts w:ascii="Times New Roman" w:hAnsi="Times New Roman" w:cs="Times New Roman"/>
        </w:rPr>
        <w:t xml:space="preserve">). </w:t>
      </w:r>
    </w:p>
    <w:p w:rsidR="00E3501A" w:rsidRDefault="007974B6" w:rsidP="007974B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cDNA</w:t>
      </w:r>
      <w:proofErr w:type="spellEnd"/>
      <w:r>
        <w:rPr>
          <w:rFonts w:ascii="Times New Roman" w:hAnsi="Times New Roman" w:cs="Times New Roman"/>
        </w:rPr>
        <w:t xml:space="preserve"> samples were </w:t>
      </w:r>
      <w:r w:rsidR="00A2040C">
        <w:rPr>
          <w:rFonts w:ascii="Times New Roman" w:hAnsi="Times New Roman" w:cs="Times New Roman"/>
        </w:rPr>
        <w:t xml:space="preserve">run on a 1.2% </w:t>
      </w:r>
      <w:proofErr w:type="spellStart"/>
      <w:r w:rsidR="00A2040C">
        <w:rPr>
          <w:rFonts w:ascii="Times New Roman" w:hAnsi="Times New Roman" w:cs="Times New Roman"/>
        </w:rPr>
        <w:t>agarose</w:t>
      </w:r>
      <w:proofErr w:type="spellEnd"/>
      <w:r w:rsidR="00A2040C">
        <w:rPr>
          <w:rFonts w:ascii="Times New Roman" w:hAnsi="Times New Roman" w:cs="Times New Roman"/>
        </w:rPr>
        <w:t xml:space="preserve"> gel that </w:t>
      </w:r>
      <w:r>
        <w:rPr>
          <w:rFonts w:ascii="Times New Roman" w:hAnsi="Times New Roman" w:cs="Times New Roman"/>
        </w:rPr>
        <w:t>helped determine relative levels</w:t>
      </w:r>
      <w:r w:rsidR="00A2040C">
        <w:rPr>
          <w:rFonts w:ascii="Times New Roman" w:hAnsi="Times New Roman" w:cs="Times New Roman"/>
        </w:rPr>
        <w:t xml:space="preserve"> of CNI, CNII and </w:t>
      </w:r>
      <w:r>
        <w:rPr>
          <w:rFonts w:ascii="Times New Roman" w:hAnsi="Times New Roman" w:cs="Times New Roman"/>
        </w:rPr>
        <w:t>So</w:t>
      </w:r>
      <w:r w:rsidR="00A2040C">
        <w:rPr>
          <w:rFonts w:ascii="Times New Roman" w:hAnsi="Times New Roman" w:cs="Times New Roman"/>
        </w:rPr>
        <w:t xml:space="preserve">x9 in the O </w:t>
      </w:r>
      <w:proofErr w:type="spellStart"/>
      <w:r w:rsidR="00A2040C">
        <w:rPr>
          <w:rFonts w:ascii="Times New Roman" w:hAnsi="Times New Roman" w:cs="Times New Roman"/>
        </w:rPr>
        <w:t>Dex</w:t>
      </w:r>
      <w:proofErr w:type="spellEnd"/>
      <w:r w:rsidR="00A2040C">
        <w:rPr>
          <w:rFonts w:ascii="Times New Roman" w:hAnsi="Times New Roman" w:cs="Times New Roman"/>
        </w:rPr>
        <w:t xml:space="preserve"> sample (Figure 2</w:t>
      </w:r>
      <w:r>
        <w:rPr>
          <w:rFonts w:ascii="Times New Roman" w:hAnsi="Times New Roman" w:cs="Times New Roman"/>
        </w:rPr>
        <w:t xml:space="preserve">).  We were unable to determine these ratios for the 300 </w:t>
      </w:r>
      <w:proofErr w:type="spellStart"/>
      <w:r>
        <w:rPr>
          <w:rFonts w:ascii="Times New Roman" w:hAnsi="Times New Roman" w:cs="Times New Roman"/>
        </w:rPr>
        <w:t>Dex</w:t>
      </w:r>
      <w:proofErr w:type="spellEnd"/>
      <w:r>
        <w:rPr>
          <w:rFonts w:ascii="Times New Roman" w:hAnsi="Times New Roman" w:cs="Times New Roman"/>
        </w:rPr>
        <w:t xml:space="preserve"> sample as no results for that sample appeared on the gel, possibly due to improper loading or low amounts of pure mRNA isolated (and, therefore, </w:t>
      </w:r>
      <w:proofErr w:type="spellStart"/>
      <w:r>
        <w:rPr>
          <w:rFonts w:ascii="Times New Roman" w:hAnsi="Times New Roman" w:cs="Times New Roman"/>
        </w:rPr>
        <w:t>cDNA</w:t>
      </w:r>
      <w:proofErr w:type="spellEnd"/>
      <w:r>
        <w:rPr>
          <w:rFonts w:ascii="Times New Roman" w:hAnsi="Times New Roman" w:cs="Times New Roman"/>
        </w:rPr>
        <w:t xml:space="preserve"> synthesized). For the O </w:t>
      </w:r>
      <w:proofErr w:type="spellStart"/>
      <w:r>
        <w:rPr>
          <w:rFonts w:ascii="Times New Roman" w:hAnsi="Times New Roman" w:cs="Times New Roman"/>
        </w:rPr>
        <w:t>Dex</w:t>
      </w:r>
      <w:proofErr w:type="spellEnd"/>
      <w:r>
        <w:rPr>
          <w:rFonts w:ascii="Times New Roman" w:hAnsi="Times New Roman" w:cs="Times New Roman"/>
        </w:rPr>
        <w:t xml:space="preserve"> sample, in lane 2, a band for Collagen I can be seen above the band for GAPDH. In lane 4, the band for Collagen II is barely visible over the band for GAPDH. In Lane 6, no band for SOX9 is observed but </w:t>
      </w:r>
      <w:r w:rsidR="00EB079A">
        <w:rPr>
          <w:rFonts w:ascii="Times New Roman" w:hAnsi="Times New Roman" w:cs="Times New Roman"/>
        </w:rPr>
        <w:t>a band for GAPDH is visible. This information was</w:t>
      </w:r>
      <w:r>
        <w:rPr>
          <w:rFonts w:ascii="Times New Roman" w:hAnsi="Times New Roman" w:cs="Times New Roman"/>
        </w:rPr>
        <w:t xml:space="preserve"> analyzed using </w:t>
      </w:r>
      <w:proofErr w:type="spellStart"/>
      <w:r>
        <w:rPr>
          <w:rFonts w:ascii="Times New Roman" w:hAnsi="Times New Roman" w:cs="Times New Roman"/>
        </w:rPr>
        <w:t>ImageJ</w:t>
      </w:r>
      <w:proofErr w:type="spellEnd"/>
      <w:r>
        <w:rPr>
          <w:rFonts w:ascii="Times New Roman" w:hAnsi="Times New Roman" w:cs="Times New Roman"/>
        </w:rPr>
        <w:t xml:space="preserve"> – we subtracted for background, normalized using GAPDH values and, finally, calcula</w:t>
      </w:r>
      <w:r w:rsidR="00401971">
        <w:rPr>
          <w:rFonts w:ascii="Times New Roman" w:hAnsi="Times New Roman" w:cs="Times New Roman"/>
        </w:rPr>
        <w:t>ted a CNII/CNI ratio of 0.367. Given that a</w:t>
      </w:r>
      <w:r>
        <w:rPr>
          <w:rFonts w:ascii="Times New Roman" w:hAnsi="Times New Roman" w:cs="Times New Roman"/>
        </w:rPr>
        <w:t xml:space="preserve"> high CNII/CNI rati</w:t>
      </w:r>
      <w:r w:rsidR="005F5106">
        <w:rPr>
          <w:rFonts w:ascii="Times New Roman" w:hAnsi="Times New Roman" w:cs="Times New Roman"/>
        </w:rPr>
        <w:t xml:space="preserve">o indicates </w:t>
      </w:r>
      <w:proofErr w:type="spellStart"/>
      <w:r w:rsidR="005F5106">
        <w:rPr>
          <w:rFonts w:ascii="Times New Roman" w:hAnsi="Times New Roman" w:cs="Times New Roman"/>
        </w:rPr>
        <w:t>chondrogenesis</w:t>
      </w:r>
      <w:proofErr w:type="spellEnd"/>
      <w:r w:rsidR="005F5106">
        <w:rPr>
          <w:rFonts w:ascii="Times New Roman" w:hAnsi="Times New Roman" w:cs="Times New Roman"/>
        </w:rPr>
        <w:t>,</w:t>
      </w:r>
      <w:r>
        <w:rPr>
          <w:rFonts w:ascii="Times New Roman" w:hAnsi="Times New Roman" w:cs="Times New Roman"/>
        </w:rPr>
        <w:t xml:space="preserve"> a low ratio like the one we determined indicated a MSC phenotype and suggested little </w:t>
      </w:r>
      <w:proofErr w:type="spellStart"/>
      <w:r>
        <w:rPr>
          <w:rFonts w:ascii="Times New Roman" w:hAnsi="Times New Roman" w:cs="Times New Roman"/>
        </w:rPr>
        <w:t>chondrocyte</w:t>
      </w:r>
      <w:proofErr w:type="spellEnd"/>
      <w:r>
        <w:rPr>
          <w:rFonts w:ascii="Times New Roman" w:hAnsi="Times New Roman" w:cs="Times New Roman"/>
        </w:rPr>
        <w:t xml:space="preserve"> phenotype induction. This resu</w:t>
      </w:r>
      <w:r w:rsidR="00A2040C">
        <w:rPr>
          <w:rFonts w:ascii="Times New Roman" w:hAnsi="Times New Roman" w:cs="Times New Roman"/>
        </w:rPr>
        <w:t>lt seemed to indicate that 0 DEX</w:t>
      </w:r>
      <w:r>
        <w:rPr>
          <w:rFonts w:ascii="Times New Roman" w:hAnsi="Times New Roman" w:cs="Times New Roman"/>
        </w:rPr>
        <w:t xml:space="preserve"> concentration did not promote </w:t>
      </w:r>
      <w:proofErr w:type="spellStart"/>
      <w:r>
        <w:rPr>
          <w:rFonts w:ascii="Times New Roman" w:hAnsi="Times New Roman" w:cs="Times New Roman"/>
        </w:rPr>
        <w:t>chondrogene</w:t>
      </w:r>
      <w:r w:rsidR="00A2040C">
        <w:rPr>
          <w:rFonts w:ascii="Times New Roman" w:hAnsi="Times New Roman" w:cs="Times New Roman"/>
        </w:rPr>
        <w:t>sis</w:t>
      </w:r>
      <w:proofErr w:type="spellEnd"/>
      <w:r w:rsidR="00A2040C">
        <w:rPr>
          <w:rFonts w:ascii="Times New Roman" w:hAnsi="Times New Roman" w:cs="Times New Roman"/>
        </w:rPr>
        <w:t xml:space="preserve"> suggesting importance of DEX in the </w:t>
      </w:r>
      <w:proofErr w:type="spellStart"/>
      <w:r w:rsidR="00A2040C">
        <w:rPr>
          <w:rFonts w:ascii="Times New Roman" w:hAnsi="Times New Roman" w:cs="Times New Roman"/>
        </w:rPr>
        <w:t>chondrogenesis</w:t>
      </w:r>
      <w:proofErr w:type="spellEnd"/>
      <w:r w:rsidR="00A2040C">
        <w:rPr>
          <w:rFonts w:ascii="Times New Roman" w:hAnsi="Times New Roman" w:cs="Times New Roman"/>
        </w:rPr>
        <w:t xml:space="preserve"> </w:t>
      </w:r>
      <w:r w:rsidR="005F5106">
        <w:rPr>
          <w:rFonts w:ascii="Times New Roman" w:hAnsi="Times New Roman" w:cs="Times New Roman"/>
        </w:rPr>
        <w:t xml:space="preserve">process (1). </w:t>
      </w:r>
      <w:r>
        <w:rPr>
          <w:rFonts w:ascii="Times New Roman" w:hAnsi="Times New Roman" w:cs="Times New Roman"/>
        </w:rPr>
        <w:t>The lack of presence of a SOX9 band could be attributed to the same reason and suggested the possible significa</w:t>
      </w:r>
      <w:r w:rsidR="005F5106">
        <w:rPr>
          <w:rFonts w:ascii="Times New Roman" w:hAnsi="Times New Roman" w:cs="Times New Roman"/>
        </w:rPr>
        <w:t>nce of DEX in SOX9 enhancement, as reported by Noda et al (3).</w:t>
      </w:r>
    </w:p>
    <w:p w:rsidR="00E3501A" w:rsidRDefault="00E3501A" w:rsidP="00E3501A"/>
    <w:p w:rsidR="00E3501A" w:rsidRPr="002256B3" w:rsidRDefault="00E3501A" w:rsidP="00E3501A">
      <w:r>
        <w:t xml:space="preserve">           Lane1   Lane2   </w:t>
      </w:r>
      <w:proofErr w:type="gramStart"/>
      <w:r>
        <w:t>Lane3  Lane4</w:t>
      </w:r>
      <w:proofErr w:type="gramEnd"/>
      <w:r>
        <w:t xml:space="preserve">   Lane5    Lane6   Lane 7</w:t>
      </w:r>
      <w:r w:rsidRPr="00F258ED">
        <w:rPr>
          <w:noProof/>
        </w:rPr>
        <w:drawing>
          <wp:inline distT="0" distB="0" distL="0" distR="0">
            <wp:extent cx="5486400" cy="4099002"/>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86400" cy="4099002"/>
                    </a:xfrm>
                    <a:prstGeom prst="rect">
                      <a:avLst/>
                    </a:prstGeom>
                    <a:noFill/>
                    <a:ln w="9525">
                      <a:noFill/>
                      <a:miter lim="800000"/>
                      <a:headEnd/>
                      <a:tailEnd/>
                    </a:ln>
                  </pic:spPr>
                </pic:pic>
              </a:graphicData>
            </a:graphic>
          </wp:inline>
        </w:drawing>
      </w:r>
      <w:r>
        <w:t xml:space="preserve"> </w:t>
      </w:r>
    </w:p>
    <w:p w:rsidR="00E3501A" w:rsidRDefault="00E3501A" w:rsidP="00E3501A">
      <w:r>
        <w:rPr>
          <w:b/>
        </w:rPr>
        <w:t>Figure 2</w:t>
      </w:r>
      <w:r w:rsidRPr="002256B3">
        <w:rPr>
          <w:b/>
        </w:rPr>
        <w:t xml:space="preserve">: RT-PCR gel with collagen </w:t>
      </w:r>
      <w:proofErr w:type="gramStart"/>
      <w:r w:rsidRPr="002256B3">
        <w:rPr>
          <w:b/>
        </w:rPr>
        <w:t>I, collagen II, and SOX9 transcripts for 0</w:t>
      </w:r>
      <w:proofErr w:type="gramEnd"/>
      <w:r w:rsidRPr="002256B3">
        <w:rPr>
          <w:b/>
        </w:rPr>
        <w:t xml:space="preserve"> </w:t>
      </w:r>
      <w:proofErr w:type="spellStart"/>
      <w:r w:rsidRPr="002256B3">
        <w:rPr>
          <w:b/>
        </w:rPr>
        <w:t>Dexamethasone</w:t>
      </w:r>
      <w:proofErr w:type="spellEnd"/>
      <w:r w:rsidRPr="002256B3">
        <w:rPr>
          <w:b/>
        </w:rPr>
        <w:t xml:space="preserve"> samples.</w:t>
      </w:r>
      <w:r>
        <w:t xml:space="preserve">  300 </w:t>
      </w:r>
      <w:proofErr w:type="spellStart"/>
      <w:r>
        <w:t>dexamethasone</w:t>
      </w:r>
      <w:proofErr w:type="spellEnd"/>
      <w:r>
        <w:t xml:space="preserve"> samples are also run in lanes 3,5,and 7, but do not show any product.  Lane 1 is a DNA ladder, lane 2 is a collagen I 0 </w:t>
      </w:r>
      <w:proofErr w:type="spellStart"/>
      <w:r>
        <w:t>Dexamethsone</w:t>
      </w:r>
      <w:proofErr w:type="spellEnd"/>
      <w:r>
        <w:t xml:space="preserve">, lane 4 is a collagen II 0 </w:t>
      </w:r>
      <w:proofErr w:type="spellStart"/>
      <w:r>
        <w:t>dexamethasone</w:t>
      </w:r>
      <w:proofErr w:type="spellEnd"/>
      <w:r>
        <w:t xml:space="preserve">, lane 6 is a SOX9 0 </w:t>
      </w:r>
      <w:proofErr w:type="spellStart"/>
      <w:r>
        <w:t>dexamethasone</w:t>
      </w:r>
      <w:proofErr w:type="spellEnd"/>
      <w:proofErr w:type="gramStart"/>
      <w:r>
        <w:t>..</w:t>
      </w:r>
      <w:proofErr w:type="gramEnd"/>
      <w:r>
        <w:t xml:space="preserve"> Col I </w:t>
      </w:r>
      <w:proofErr w:type="gramStart"/>
      <w:r>
        <w:t>is</w:t>
      </w:r>
      <w:proofErr w:type="gramEnd"/>
      <w:r>
        <w:t xml:space="preserve"> observed in Lane 2 above the GAPDH band, Col II is not observed in lane 4 above the GAPDH band and SOX9 is not observed in lane 6 above the GAPDH band. </w:t>
      </w:r>
    </w:p>
    <w:p w:rsidR="007974B6" w:rsidRDefault="007974B6" w:rsidP="007974B6">
      <w:pPr>
        <w:widowControl w:val="0"/>
        <w:autoSpaceDE w:val="0"/>
        <w:autoSpaceDN w:val="0"/>
        <w:adjustRightInd w:val="0"/>
        <w:spacing w:line="480" w:lineRule="auto"/>
        <w:ind w:firstLine="720"/>
        <w:rPr>
          <w:rFonts w:ascii="Times New Roman" w:hAnsi="Times New Roman" w:cs="Times New Roman"/>
        </w:rPr>
      </w:pPr>
    </w:p>
    <w:p w:rsidR="00E3501A" w:rsidRDefault="007974B6" w:rsidP="002960A7">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Antibodies against CNI and CNII were used in an indirect ELISA on the c</w:t>
      </w:r>
      <w:r w:rsidR="003B6413">
        <w:rPr>
          <w:rFonts w:ascii="Times New Roman" w:hAnsi="Times New Roman" w:cs="Times New Roman"/>
        </w:rPr>
        <w:t xml:space="preserve">ell </w:t>
      </w:r>
      <w:proofErr w:type="spellStart"/>
      <w:r w:rsidR="003B6413">
        <w:rPr>
          <w:rFonts w:ascii="Times New Roman" w:hAnsi="Times New Roman" w:cs="Times New Roman"/>
        </w:rPr>
        <w:t>lysates</w:t>
      </w:r>
      <w:proofErr w:type="spellEnd"/>
      <w:r w:rsidR="003B6413">
        <w:rPr>
          <w:rFonts w:ascii="Times New Roman" w:hAnsi="Times New Roman" w:cs="Times New Roman"/>
        </w:rPr>
        <w:t xml:space="preserve"> of the two samples. The</w:t>
      </w:r>
      <w:r w:rsidR="00047B37">
        <w:rPr>
          <w:rFonts w:ascii="Times New Roman" w:hAnsi="Times New Roman" w:cs="Times New Roman"/>
        </w:rPr>
        <w:t xml:space="preserve">re was fairly good agreement between the raw values for the different replicates for both the standards and the samples. </w:t>
      </w:r>
      <w:r w:rsidR="00E3501A">
        <w:t xml:space="preserve">Background corrected </w:t>
      </w:r>
      <w:proofErr w:type="spellStart"/>
      <w:r w:rsidR="00E3501A">
        <w:t>absorbances</w:t>
      </w:r>
      <w:proofErr w:type="spellEnd"/>
      <w:r w:rsidR="00E3501A">
        <w:t xml:space="preserve"> for the standards were plot</w:t>
      </w:r>
      <w:r w:rsidR="002960A7">
        <w:t xml:space="preserve">ted against 10ug/mL of collagen I </w:t>
      </w:r>
      <w:r w:rsidR="00864D18">
        <w:t xml:space="preserve"> (Figure 3) </w:t>
      </w:r>
      <w:r w:rsidR="002960A7">
        <w:t xml:space="preserve">and the slope and intercept were used to calculate actual protein concentrations </w:t>
      </w:r>
      <w:r w:rsidR="00DF7E0F">
        <w:t xml:space="preserve">for the two samples </w:t>
      </w:r>
      <w:r w:rsidR="002960A7">
        <w:t>using the</w:t>
      </w:r>
      <w:r w:rsidR="00DF7E0F">
        <w:t>ir background subtracted absorp</w:t>
      </w:r>
      <w:r w:rsidR="002960A7">
        <w:t>tion values</w:t>
      </w:r>
      <w:r w:rsidR="00DF7E0F">
        <w:t xml:space="preserve"> </w:t>
      </w:r>
      <w:r w:rsidR="002960A7">
        <w:t>(~0.05).</w:t>
      </w:r>
      <w:r w:rsidR="002960A7">
        <w:rPr>
          <w:rFonts w:ascii="Times New Roman" w:hAnsi="Times New Roman" w:cs="Times New Roman"/>
        </w:rPr>
        <w:t xml:space="preserve"> The </w:t>
      </w:r>
      <w:r w:rsidR="003B6413">
        <w:rPr>
          <w:rFonts w:ascii="Times New Roman" w:hAnsi="Times New Roman" w:cs="Times New Roman"/>
        </w:rPr>
        <w:t xml:space="preserve">values of CNI </w:t>
      </w:r>
      <w:r w:rsidR="002960A7">
        <w:rPr>
          <w:rFonts w:ascii="Times New Roman" w:hAnsi="Times New Roman" w:cs="Times New Roman"/>
        </w:rPr>
        <w:t xml:space="preserve">determined </w:t>
      </w:r>
      <w:r w:rsidR="003B6413">
        <w:rPr>
          <w:rFonts w:ascii="Times New Roman" w:hAnsi="Times New Roman" w:cs="Times New Roman"/>
        </w:rPr>
        <w:t xml:space="preserve">for 0 </w:t>
      </w:r>
      <w:proofErr w:type="spellStart"/>
      <w:r w:rsidR="003B6413">
        <w:rPr>
          <w:rFonts w:ascii="Times New Roman" w:hAnsi="Times New Roman" w:cs="Times New Roman"/>
        </w:rPr>
        <w:t>Dex</w:t>
      </w:r>
      <w:proofErr w:type="spellEnd"/>
      <w:r w:rsidR="003B6413">
        <w:rPr>
          <w:rFonts w:ascii="Times New Roman" w:hAnsi="Times New Roman" w:cs="Times New Roman"/>
        </w:rPr>
        <w:t xml:space="preserve"> and 300 </w:t>
      </w:r>
      <w:proofErr w:type="spellStart"/>
      <w:r w:rsidR="003B6413">
        <w:rPr>
          <w:rFonts w:ascii="Times New Roman" w:hAnsi="Times New Roman" w:cs="Times New Roman"/>
        </w:rPr>
        <w:t>Dex</w:t>
      </w:r>
      <w:proofErr w:type="spellEnd"/>
      <w:r w:rsidR="003B6413">
        <w:rPr>
          <w:rFonts w:ascii="Times New Roman" w:hAnsi="Times New Roman" w:cs="Times New Roman"/>
        </w:rPr>
        <w:t xml:space="preserve"> </w:t>
      </w:r>
      <w:r w:rsidR="002960A7">
        <w:rPr>
          <w:rFonts w:ascii="Times New Roman" w:hAnsi="Times New Roman" w:cs="Times New Roman"/>
        </w:rPr>
        <w:t>using this analysis were</w:t>
      </w:r>
      <w:r w:rsidR="003B6413">
        <w:rPr>
          <w:rFonts w:ascii="Times New Roman" w:hAnsi="Times New Roman" w:cs="Times New Roman"/>
        </w:rPr>
        <w:t xml:space="preserve"> 1.2</w:t>
      </w:r>
      <w:r w:rsidR="003B6413" w:rsidRPr="003B6413">
        <w:rPr>
          <w:rFonts w:ascii="Times New Roman" w:hAnsi="Times New Roman" w:cs="Times New Roman"/>
        </w:rPr>
        <w:t>μ</w:t>
      </w:r>
      <w:r w:rsidR="003B6413">
        <w:rPr>
          <w:rFonts w:ascii="Times New Roman" w:hAnsi="Times New Roman" w:cs="Times New Roman"/>
        </w:rPr>
        <w:t>g/mL and 1.1</w:t>
      </w:r>
      <w:r w:rsidR="003B6413" w:rsidRPr="003B6413">
        <w:rPr>
          <w:rFonts w:ascii="Times New Roman" w:hAnsi="Times New Roman" w:cs="Times New Roman"/>
        </w:rPr>
        <w:t>μ</w:t>
      </w:r>
      <w:r w:rsidR="003B6413">
        <w:rPr>
          <w:rFonts w:ascii="Times New Roman" w:hAnsi="Times New Roman" w:cs="Times New Roman"/>
        </w:rPr>
        <w:t xml:space="preserve">g/mL respectively. </w:t>
      </w:r>
      <w:r w:rsidR="004F02C8">
        <w:rPr>
          <w:rFonts w:ascii="Times New Roman" w:hAnsi="Times New Roman" w:cs="Times New Roman"/>
        </w:rPr>
        <w:t>No measurable amounts of CNII were de</w:t>
      </w:r>
      <w:r w:rsidR="00FF6014">
        <w:rPr>
          <w:rFonts w:ascii="Times New Roman" w:hAnsi="Times New Roman" w:cs="Times New Roman"/>
        </w:rPr>
        <w:t xml:space="preserve">termined for either sample and </w:t>
      </w:r>
      <w:r w:rsidR="004F02C8">
        <w:rPr>
          <w:rFonts w:ascii="Times New Roman" w:hAnsi="Times New Roman" w:cs="Times New Roman"/>
        </w:rPr>
        <w:t xml:space="preserve">we were, therefore, unable to calculate CNII/CNI ratios. Our results suggested that </w:t>
      </w:r>
      <w:proofErr w:type="spellStart"/>
      <w:r w:rsidR="004F02C8">
        <w:rPr>
          <w:rFonts w:ascii="Times New Roman" w:hAnsi="Times New Roman" w:cs="Times New Roman"/>
        </w:rPr>
        <w:t>chondrocyte</w:t>
      </w:r>
      <w:proofErr w:type="spellEnd"/>
      <w:r w:rsidR="004F02C8">
        <w:rPr>
          <w:rFonts w:ascii="Times New Roman" w:hAnsi="Times New Roman" w:cs="Times New Roman"/>
        </w:rPr>
        <w:t xml:space="preserve"> phenotype was not induced in either of our samples, regardl</w:t>
      </w:r>
      <w:r w:rsidR="000D6DFF">
        <w:rPr>
          <w:rFonts w:ascii="Times New Roman" w:hAnsi="Times New Roman" w:cs="Times New Roman"/>
        </w:rPr>
        <w:t>ess of the DEX</w:t>
      </w:r>
      <w:r w:rsidR="004F02C8">
        <w:rPr>
          <w:rFonts w:ascii="Times New Roman" w:hAnsi="Times New Roman" w:cs="Times New Roman"/>
        </w:rPr>
        <w:t xml:space="preserve"> concentration. These results </w:t>
      </w:r>
      <w:r w:rsidR="00E06740">
        <w:rPr>
          <w:rFonts w:ascii="Times New Roman" w:hAnsi="Times New Roman" w:cs="Times New Roman"/>
        </w:rPr>
        <w:t xml:space="preserve">seemed to corroborate the transcript level results for 0 </w:t>
      </w:r>
      <w:proofErr w:type="spellStart"/>
      <w:r w:rsidR="00E06740">
        <w:rPr>
          <w:rFonts w:ascii="Times New Roman" w:hAnsi="Times New Roman" w:cs="Times New Roman"/>
        </w:rPr>
        <w:t>Dex</w:t>
      </w:r>
      <w:proofErr w:type="spellEnd"/>
      <w:r w:rsidR="00E06740">
        <w:rPr>
          <w:rFonts w:ascii="Times New Roman" w:hAnsi="Times New Roman" w:cs="Times New Roman"/>
        </w:rPr>
        <w:t xml:space="preserve"> from the RT-PCR which also indicated higher relative levels of CNI as compared to CNII, indicating low </w:t>
      </w:r>
      <w:proofErr w:type="spellStart"/>
      <w:r w:rsidR="00E06740">
        <w:rPr>
          <w:rFonts w:ascii="Times New Roman" w:hAnsi="Times New Roman" w:cs="Times New Roman"/>
        </w:rPr>
        <w:t>chondrocyte</w:t>
      </w:r>
      <w:proofErr w:type="spellEnd"/>
      <w:r w:rsidR="00E06740">
        <w:rPr>
          <w:rFonts w:ascii="Times New Roman" w:hAnsi="Times New Roman" w:cs="Times New Roman"/>
        </w:rPr>
        <w:t xml:space="preserve"> phenotype development. </w:t>
      </w:r>
      <w:r w:rsidR="00FF6014">
        <w:rPr>
          <w:rFonts w:ascii="Times New Roman" w:hAnsi="Times New Roman" w:cs="Times New Roman"/>
        </w:rPr>
        <w:t xml:space="preserve"> </w:t>
      </w:r>
    </w:p>
    <w:p w:rsidR="00E3501A" w:rsidRDefault="00E3501A" w:rsidP="00E3501A">
      <w:pPr>
        <w:rPr>
          <w:b/>
        </w:rPr>
      </w:pPr>
    </w:p>
    <w:p w:rsidR="00E3501A" w:rsidRDefault="00E3501A" w:rsidP="00E3501A">
      <w:pPr>
        <w:rPr>
          <w:b/>
        </w:rPr>
      </w:pPr>
      <w:r w:rsidRPr="00B62500">
        <w:rPr>
          <w:b/>
          <w:noProof/>
        </w:rPr>
        <w:drawing>
          <wp:inline distT="0" distB="0" distL="0" distR="0">
            <wp:extent cx="4572000" cy="2743200"/>
            <wp:effectExtent l="25400" t="25400" r="0" b="0"/>
            <wp:docPr id="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501A" w:rsidRDefault="00E3501A" w:rsidP="00E3501A">
      <w:pPr>
        <w:rPr>
          <w:b/>
        </w:rPr>
      </w:pPr>
    </w:p>
    <w:p w:rsidR="00E3501A" w:rsidRDefault="00E3501A" w:rsidP="00E3501A">
      <w:pPr>
        <w:rPr>
          <w:b/>
        </w:rPr>
      </w:pPr>
    </w:p>
    <w:p w:rsidR="00E3501A" w:rsidRDefault="00E3501A" w:rsidP="00E3501A">
      <w:pPr>
        <w:rPr>
          <w:b/>
        </w:rPr>
      </w:pPr>
    </w:p>
    <w:p w:rsidR="00E3501A" w:rsidRPr="002256B3" w:rsidRDefault="00E3501A" w:rsidP="00E3501A">
      <w:r>
        <w:rPr>
          <w:b/>
        </w:rPr>
        <w:t xml:space="preserve">Figure 3: ELISA standard curve for Collagen I.  </w:t>
      </w:r>
      <w:r>
        <w:t xml:space="preserve">Background corrected </w:t>
      </w:r>
      <w:proofErr w:type="spellStart"/>
      <w:r>
        <w:t>absorbances</w:t>
      </w:r>
      <w:proofErr w:type="spellEnd"/>
      <w:r>
        <w:t xml:space="preserve"> are plotted against 10ug/mL of collagen I.  </w:t>
      </w:r>
      <w:proofErr w:type="gramStart"/>
      <w:r>
        <w:t>Equation of fit and R-squared value are</w:t>
      </w:r>
      <w:proofErr w:type="gramEnd"/>
      <w:r>
        <w:t xml:space="preserve"> included on the graph.  The corrected experimental ELISA </w:t>
      </w:r>
      <w:proofErr w:type="spellStart"/>
      <w:r>
        <w:t>absorbances</w:t>
      </w:r>
      <w:proofErr w:type="spellEnd"/>
      <w:r>
        <w:t xml:space="preserve"> were about .05, resulting in about 1.2ug/mL collagen concentration.</w:t>
      </w:r>
    </w:p>
    <w:p w:rsidR="00A30F91" w:rsidRDefault="00A30F91" w:rsidP="007974B6">
      <w:pPr>
        <w:widowControl w:val="0"/>
        <w:autoSpaceDE w:val="0"/>
        <w:autoSpaceDN w:val="0"/>
        <w:adjustRightInd w:val="0"/>
        <w:spacing w:line="480" w:lineRule="auto"/>
        <w:ind w:firstLine="720"/>
        <w:rPr>
          <w:rFonts w:ascii="Times New Roman" w:hAnsi="Times New Roman" w:cs="Times New Roman"/>
        </w:rPr>
      </w:pPr>
    </w:p>
    <w:p w:rsidR="007974B6" w:rsidRPr="00A30F91" w:rsidRDefault="00A30F91" w:rsidP="00C251B0">
      <w:pPr>
        <w:widowControl w:val="0"/>
        <w:autoSpaceDE w:val="0"/>
        <w:autoSpaceDN w:val="0"/>
        <w:adjustRightInd w:val="0"/>
        <w:spacing w:line="480" w:lineRule="auto"/>
        <w:rPr>
          <w:rFonts w:ascii="Times New Roman" w:hAnsi="Times New Roman" w:cs="Times New Roman"/>
          <w:b/>
          <w:u w:val="single"/>
        </w:rPr>
      </w:pPr>
      <w:r w:rsidRPr="00A30F91">
        <w:rPr>
          <w:rFonts w:ascii="Times New Roman" w:hAnsi="Times New Roman" w:cs="Times New Roman"/>
          <w:b/>
          <w:u w:val="single"/>
        </w:rPr>
        <w:t>Discussion</w:t>
      </w:r>
    </w:p>
    <w:p w:rsidR="00650F6D" w:rsidRDefault="00A30F91" w:rsidP="00C251B0">
      <w:pPr>
        <w:spacing w:line="480" w:lineRule="auto"/>
      </w:pPr>
      <w:r>
        <w:tab/>
        <w:t>We had set out</w:t>
      </w:r>
      <w:r w:rsidR="008031F0">
        <w:t xml:space="preserve"> to determine the effects of DEX</w:t>
      </w:r>
      <w:r>
        <w:t xml:space="preserve"> concentration on </w:t>
      </w:r>
      <w:proofErr w:type="spellStart"/>
      <w:r>
        <w:t>chondrocyte</w:t>
      </w:r>
      <w:proofErr w:type="spellEnd"/>
      <w:r>
        <w:t xml:space="preserve"> phenotype development in MES by determining tra</w:t>
      </w:r>
      <w:r w:rsidR="00056CA8">
        <w:t>nscript and protein levels of CN</w:t>
      </w:r>
      <w:r>
        <w:t xml:space="preserve">I and CNII and transcript levels of SOX9. We had expected to </w:t>
      </w:r>
      <w:r w:rsidR="00876A6E">
        <w:t xml:space="preserve">see an increase in </w:t>
      </w:r>
      <w:proofErr w:type="spellStart"/>
      <w:r w:rsidR="00876A6E">
        <w:t>chondrocyte</w:t>
      </w:r>
      <w:proofErr w:type="spellEnd"/>
      <w:r w:rsidR="00876A6E">
        <w:t xml:space="preserve"> differentiation as indicated by an increase in CNII production </w:t>
      </w:r>
      <w:r w:rsidR="006A05E9">
        <w:t xml:space="preserve">(1) and an enhancement of </w:t>
      </w:r>
      <w:proofErr w:type="gramStart"/>
      <w:r w:rsidR="006A05E9">
        <w:t>SOX9(</w:t>
      </w:r>
      <w:proofErr w:type="gramEnd"/>
      <w:r w:rsidR="006A05E9">
        <w:t>3</w:t>
      </w:r>
      <w:r w:rsidR="00876A6E">
        <w:t xml:space="preserve">). </w:t>
      </w:r>
      <w:r w:rsidR="00373CAA">
        <w:t xml:space="preserve">Our results seemed to suggest that DEX didn’t play much role in affecting cell viability and morphology as these traits appeared fairly constant across the two samples. </w:t>
      </w:r>
      <w:r w:rsidR="002923DA">
        <w:t xml:space="preserve">We found a higher amount of CNI relative to CNII produced, on both the transcript and protein level, in the 0 DEX sample. For the 300 DEX sample, we found a higher relative amount of CNI as compared to CNII on the protein level. These results seemed to suggest that the concentration of DEX did not have much effect on promoting </w:t>
      </w:r>
      <w:proofErr w:type="spellStart"/>
      <w:r w:rsidR="002923DA">
        <w:t>chondrogenesis</w:t>
      </w:r>
      <w:proofErr w:type="spellEnd"/>
      <w:r w:rsidR="002923DA">
        <w:t xml:space="preserve">. However, it is hard to draw a valid conclusion just based on these results. Future work would need </w:t>
      </w:r>
      <w:r w:rsidR="009B29A6">
        <w:t>to replicate these results</w:t>
      </w:r>
      <w:r w:rsidR="002923DA">
        <w:t xml:space="preserve"> on both the transcript and protein level</w:t>
      </w:r>
      <w:r w:rsidR="001C48E6">
        <w:t xml:space="preserve"> for CNI and CNII. Moreover, the experiment would allow</w:t>
      </w:r>
      <w:r w:rsidR="006A05E9">
        <w:t xml:space="preserve"> for</w:t>
      </w:r>
      <w:r w:rsidR="001C48E6">
        <w:t xml:space="preserve"> a much more valid determination of a trend if carried out over a range of DEX concentrations rather than </w:t>
      </w:r>
      <w:r w:rsidR="006A05E9">
        <w:t xml:space="preserve">over </w:t>
      </w:r>
      <w:r w:rsidR="001C48E6">
        <w:t>just two. More sensitive techniques for quantifying transcript (q-</w:t>
      </w:r>
      <w:proofErr w:type="spellStart"/>
      <w:r w:rsidR="001C48E6">
        <w:t>pcr</w:t>
      </w:r>
      <w:proofErr w:type="spellEnd"/>
      <w:r w:rsidR="001C48E6">
        <w:t>) and protein levels</w:t>
      </w:r>
      <w:r w:rsidR="00E03510">
        <w:t xml:space="preserve"> (Direct ELISA) would add to the validity of future experiments as well. </w:t>
      </w:r>
      <w:r w:rsidR="00A56137">
        <w:t>W</w:t>
      </w:r>
      <w:r w:rsidR="00A01156">
        <w:t xml:space="preserve">e would </w:t>
      </w:r>
      <w:r w:rsidR="00A56137">
        <w:t xml:space="preserve">also </w:t>
      </w:r>
      <w:r w:rsidR="00A01156">
        <w:t xml:space="preserve">like to note that our assay certainly did not provide the full picture to make our claim. Further validation could be achieved by determining </w:t>
      </w:r>
      <w:proofErr w:type="spellStart"/>
      <w:r w:rsidR="00A01156">
        <w:t>proteoglycan</w:t>
      </w:r>
      <w:proofErr w:type="spellEnd"/>
      <w:r w:rsidR="00864FBD">
        <w:t xml:space="preserve"> (~15-30% of cartilage tissue) </w:t>
      </w:r>
      <w:r w:rsidR="00A01156">
        <w:t xml:space="preserve">content in the different samples </w:t>
      </w:r>
      <w:r w:rsidR="00864FBD">
        <w:t>to determine leve</w:t>
      </w:r>
      <w:r w:rsidR="00AA2ACE">
        <w:t xml:space="preserve">ls of </w:t>
      </w:r>
      <w:proofErr w:type="spellStart"/>
      <w:r w:rsidR="00AA2ACE">
        <w:t>chondrogenesis</w:t>
      </w:r>
      <w:proofErr w:type="spellEnd"/>
      <w:r w:rsidR="00AA2ACE">
        <w:t xml:space="preserve">. </w:t>
      </w:r>
      <w:r w:rsidR="00864FBD">
        <w:t xml:space="preserve"> </w:t>
      </w:r>
      <w:r w:rsidR="00AA2ACE">
        <w:t>Our results, therefore, point towards some i</w:t>
      </w:r>
      <w:r w:rsidR="00864FBD">
        <w:t xml:space="preserve">deas regarding the effects of DEX on </w:t>
      </w:r>
      <w:proofErr w:type="spellStart"/>
      <w:r w:rsidR="00864FBD">
        <w:t>chondrocyte</w:t>
      </w:r>
      <w:proofErr w:type="spellEnd"/>
      <w:r w:rsidR="00864FBD">
        <w:t xml:space="preserve"> diff</w:t>
      </w:r>
      <w:r w:rsidR="00AA2ACE">
        <w:t xml:space="preserve">erentiation and SOX9 expression, but would need to </w:t>
      </w:r>
      <w:r w:rsidR="00864FBD">
        <w:t xml:space="preserve">be further tested </w:t>
      </w:r>
      <w:r w:rsidR="002F497A">
        <w:t xml:space="preserve">and </w:t>
      </w:r>
      <w:r w:rsidR="00864FBD">
        <w:t>validated th</w:t>
      </w:r>
      <w:r w:rsidR="00AA2ACE">
        <w:t>rough the suggested future work before a valid conclusion can be made.</w:t>
      </w:r>
    </w:p>
    <w:p w:rsidR="00650F6D" w:rsidRDefault="00650F6D"/>
    <w:p w:rsidR="00541185" w:rsidRPr="00541185" w:rsidRDefault="00541185" w:rsidP="00541185">
      <w:pPr>
        <w:rPr>
          <w:b/>
          <w:u w:val="single"/>
        </w:rPr>
      </w:pPr>
      <w:r w:rsidRPr="00541185">
        <w:rPr>
          <w:b/>
          <w:u w:val="single"/>
        </w:rPr>
        <w:t>References</w:t>
      </w:r>
    </w:p>
    <w:p w:rsidR="00541185" w:rsidRDefault="00541185" w:rsidP="00541185"/>
    <w:p w:rsidR="00541185" w:rsidRDefault="00541185" w:rsidP="00541185">
      <w:r>
        <w:t xml:space="preserve">1) </w:t>
      </w:r>
      <w:proofErr w:type="spellStart"/>
      <w:r>
        <w:t>Assia</w:t>
      </w:r>
      <w:proofErr w:type="spellEnd"/>
      <w:r>
        <w:t xml:space="preserve"> </w:t>
      </w:r>
      <w:proofErr w:type="spellStart"/>
      <w:r>
        <w:t>Derfoula</w:t>
      </w:r>
      <w:proofErr w:type="spellEnd"/>
      <w:r>
        <w:t xml:space="preserve">, Geraldine L. </w:t>
      </w:r>
      <w:proofErr w:type="spellStart"/>
      <w:r>
        <w:t>Perkinsa</w:t>
      </w:r>
      <w:proofErr w:type="gramStart"/>
      <w:r>
        <w:t>,b</w:t>
      </w:r>
      <w:proofErr w:type="spellEnd"/>
      <w:proofErr w:type="gramEnd"/>
      <w:r>
        <w:t xml:space="preserve">, David J. </w:t>
      </w:r>
      <w:proofErr w:type="spellStart"/>
      <w:r>
        <w:t>Halla,b</w:t>
      </w:r>
      <w:proofErr w:type="spellEnd"/>
      <w:r>
        <w:t xml:space="preserve">, Rocky S. </w:t>
      </w:r>
      <w:proofErr w:type="spellStart"/>
      <w:r>
        <w:t>Tuana</w:t>
      </w:r>
      <w:proofErr w:type="spellEnd"/>
      <w:r>
        <w:t xml:space="preserve">. </w:t>
      </w:r>
      <w:proofErr w:type="spellStart"/>
      <w:proofErr w:type="gramStart"/>
      <w:r>
        <w:t>Glucocorticoids</w:t>
      </w:r>
      <w:proofErr w:type="spellEnd"/>
      <w:r>
        <w:t xml:space="preserve"> Promote </w:t>
      </w:r>
      <w:proofErr w:type="spellStart"/>
      <w:r>
        <w:t>Chondrogenic</w:t>
      </w:r>
      <w:proofErr w:type="spellEnd"/>
      <w:r>
        <w:t xml:space="preserve"> Differentiation of Adult Human </w:t>
      </w:r>
      <w:proofErr w:type="spellStart"/>
      <w:r>
        <w:t>Mesenchymal</w:t>
      </w:r>
      <w:proofErr w:type="spellEnd"/>
      <w:r>
        <w:t xml:space="preserve"> Stem Cells by Enhancing Expression of Cartilage Extracellular Matrix </w:t>
      </w:r>
      <w:proofErr w:type="spellStart"/>
      <w:r>
        <w:t>GeneS</w:t>
      </w:r>
      <w:proofErr w:type="spellEnd"/>
      <w:r>
        <w:t>.</w:t>
      </w:r>
      <w:proofErr w:type="gramEnd"/>
      <w:r>
        <w:t xml:space="preserve"> </w:t>
      </w:r>
      <w:r w:rsidRPr="00056CA8">
        <w:t>Stem Cells Vol. 24 No. 6 June 2006, pp. 1487 -1495</w:t>
      </w:r>
    </w:p>
    <w:p w:rsidR="00541185" w:rsidRDefault="00541185"/>
    <w:p w:rsidR="00541185" w:rsidRDefault="00541185" w:rsidP="00541185"/>
    <w:p w:rsidR="00541185" w:rsidRDefault="00541185" w:rsidP="00541185">
      <w:r>
        <w:t xml:space="preserve">2) Y. </w:t>
      </w:r>
      <w:proofErr w:type="spellStart"/>
      <w:r>
        <w:t>Miyazakib</w:t>
      </w:r>
      <w:proofErr w:type="spellEnd"/>
      <w:r>
        <w:t xml:space="preserve">, T. </w:t>
      </w:r>
      <w:proofErr w:type="spellStart"/>
      <w:r>
        <w:t>Tsukazakic</w:t>
      </w:r>
      <w:proofErr w:type="spellEnd"/>
      <w:r>
        <w:t xml:space="preserve">, Y. </w:t>
      </w:r>
      <w:proofErr w:type="spellStart"/>
      <w:r>
        <w:t>Hirotab</w:t>
      </w:r>
      <w:proofErr w:type="spellEnd"/>
      <w:proofErr w:type="gramStart"/>
      <w:r>
        <w:t>,  A</w:t>
      </w:r>
      <w:proofErr w:type="gramEnd"/>
      <w:r>
        <w:t xml:space="preserve">. </w:t>
      </w:r>
      <w:proofErr w:type="spellStart"/>
      <w:r>
        <w:t>Yonekurab</w:t>
      </w:r>
      <w:proofErr w:type="spellEnd"/>
      <w:r>
        <w:t xml:space="preserve">, M. </w:t>
      </w:r>
      <w:proofErr w:type="spellStart"/>
      <w:r>
        <w:t>Osakib</w:t>
      </w:r>
      <w:proofErr w:type="spellEnd"/>
      <w:r>
        <w:t xml:space="preserve">, H. </w:t>
      </w:r>
      <w:proofErr w:type="spellStart"/>
      <w:r>
        <w:t>Shindob</w:t>
      </w:r>
      <w:proofErr w:type="spellEnd"/>
      <w:r>
        <w:t xml:space="preserve"> and S. </w:t>
      </w:r>
      <w:proofErr w:type="spellStart"/>
      <w:r>
        <w:t>Yamashitaa</w:t>
      </w:r>
      <w:proofErr w:type="spellEnd"/>
      <w:r>
        <w:t xml:space="preserve">. </w:t>
      </w:r>
      <w:proofErr w:type="spellStart"/>
      <w:r>
        <w:t>Dexamethasone</w:t>
      </w:r>
      <w:proofErr w:type="spellEnd"/>
      <w:r>
        <w:t xml:space="preserve"> inhibition of TGFβ-induced cell growth and type II collagen mRNA expression through ERK-integrated AP-1 activity in cultured rat </w:t>
      </w:r>
      <w:proofErr w:type="spellStart"/>
      <w:r>
        <w:t>articular</w:t>
      </w:r>
      <w:proofErr w:type="spellEnd"/>
      <w:r>
        <w:t xml:space="preserve"> </w:t>
      </w:r>
      <w:proofErr w:type="spellStart"/>
      <w:r>
        <w:t>chondrocytes</w:t>
      </w:r>
      <w:proofErr w:type="spellEnd"/>
      <w:r>
        <w:t xml:space="preserve">. </w:t>
      </w:r>
      <w:proofErr w:type="gramStart"/>
      <w:r>
        <w:t>Osteoarthritis and Cartilage</w:t>
      </w:r>
      <w:r w:rsidR="00CD7657">
        <w:t>.</w:t>
      </w:r>
      <w:proofErr w:type="gramEnd"/>
      <w:r w:rsidR="00CD7657">
        <w:t xml:space="preserve"> </w:t>
      </w:r>
      <w:r>
        <w:t>Volume 8, Issue 5, September 2000, Pages 378-385</w:t>
      </w:r>
    </w:p>
    <w:p w:rsidR="00650F6D" w:rsidRDefault="00650F6D"/>
    <w:p w:rsidR="00056CA8" w:rsidRDefault="00541185">
      <w:r>
        <w:t xml:space="preserve">3) </w:t>
      </w:r>
      <w:proofErr w:type="spellStart"/>
      <w:r w:rsidR="00650F6D" w:rsidRPr="00650F6D">
        <w:t>Sekiya</w:t>
      </w:r>
      <w:proofErr w:type="spellEnd"/>
      <w:r w:rsidR="00650F6D" w:rsidRPr="00650F6D">
        <w:t xml:space="preserve"> I, </w:t>
      </w:r>
      <w:proofErr w:type="spellStart"/>
      <w:r w:rsidR="00650F6D" w:rsidRPr="00650F6D">
        <w:t>Koopman</w:t>
      </w:r>
      <w:proofErr w:type="spellEnd"/>
      <w:r w:rsidR="00650F6D" w:rsidRPr="00650F6D">
        <w:t xml:space="preserve"> P, Tsuji K, </w:t>
      </w:r>
      <w:proofErr w:type="spellStart"/>
      <w:r w:rsidR="00650F6D" w:rsidRPr="00650F6D">
        <w:t>Mertin</w:t>
      </w:r>
      <w:proofErr w:type="spellEnd"/>
      <w:r w:rsidR="00650F6D" w:rsidRPr="00650F6D">
        <w:t xml:space="preserve"> S, Harley V, Yamada Y, </w:t>
      </w:r>
      <w:proofErr w:type="spellStart"/>
      <w:r w:rsidR="00650F6D" w:rsidRPr="00650F6D">
        <w:t>Shinomiya</w:t>
      </w:r>
      <w:proofErr w:type="spellEnd"/>
      <w:r w:rsidR="00650F6D" w:rsidRPr="00650F6D">
        <w:t xml:space="preserve"> K, </w:t>
      </w:r>
      <w:proofErr w:type="spellStart"/>
      <w:r w:rsidR="00650F6D" w:rsidRPr="00650F6D">
        <w:t>Nifuji</w:t>
      </w:r>
      <w:proofErr w:type="spellEnd"/>
      <w:r w:rsidR="00650F6D" w:rsidRPr="00650F6D">
        <w:t xml:space="preserve"> A, Noda M. </w:t>
      </w:r>
      <w:proofErr w:type="spellStart"/>
      <w:r w:rsidR="00650F6D" w:rsidRPr="00650F6D">
        <w:t>Dexamethasone</w:t>
      </w:r>
      <w:proofErr w:type="spellEnd"/>
      <w:r w:rsidR="00650F6D" w:rsidRPr="00650F6D">
        <w:t xml:space="preserve"> enhances SOX9 expression in </w:t>
      </w:r>
      <w:proofErr w:type="spellStart"/>
      <w:r w:rsidR="00650F6D" w:rsidRPr="00650F6D">
        <w:t>chondrocytes</w:t>
      </w:r>
      <w:proofErr w:type="spellEnd"/>
      <w:r w:rsidR="00650F6D" w:rsidRPr="00650F6D">
        <w:t xml:space="preserve">. J </w:t>
      </w:r>
      <w:proofErr w:type="spellStart"/>
      <w:r w:rsidR="00650F6D" w:rsidRPr="00650F6D">
        <w:t>Endocrinol</w:t>
      </w:r>
      <w:proofErr w:type="spellEnd"/>
      <w:r w:rsidR="00650F6D" w:rsidRPr="00650F6D">
        <w:t>. 2001</w:t>
      </w:r>
      <w:proofErr w:type="gramStart"/>
      <w:r w:rsidR="00650F6D" w:rsidRPr="00650F6D">
        <w:t>;169:573</w:t>
      </w:r>
      <w:proofErr w:type="gramEnd"/>
      <w:r w:rsidR="00650F6D" w:rsidRPr="00650F6D">
        <w:t>–579.</w:t>
      </w:r>
    </w:p>
    <w:p w:rsidR="00056CA8" w:rsidRDefault="00056CA8"/>
    <w:sectPr w:rsidR="00056CA8" w:rsidSect="004F02C8">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974B6"/>
    <w:rsid w:val="00034399"/>
    <w:rsid w:val="00047B37"/>
    <w:rsid w:val="00056CA8"/>
    <w:rsid w:val="000914B9"/>
    <w:rsid w:val="000D3388"/>
    <w:rsid w:val="000D6DFF"/>
    <w:rsid w:val="001119D6"/>
    <w:rsid w:val="001C3DC2"/>
    <w:rsid w:val="001C48E6"/>
    <w:rsid w:val="002923DA"/>
    <w:rsid w:val="002960A7"/>
    <w:rsid w:val="002F497A"/>
    <w:rsid w:val="003163D8"/>
    <w:rsid w:val="00373CAA"/>
    <w:rsid w:val="003B6413"/>
    <w:rsid w:val="003C57FC"/>
    <w:rsid w:val="00401971"/>
    <w:rsid w:val="0041783C"/>
    <w:rsid w:val="004237B0"/>
    <w:rsid w:val="004F02C8"/>
    <w:rsid w:val="00512B61"/>
    <w:rsid w:val="00541185"/>
    <w:rsid w:val="005A5AFF"/>
    <w:rsid w:val="005F5106"/>
    <w:rsid w:val="00607BB8"/>
    <w:rsid w:val="00641441"/>
    <w:rsid w:val="00650F6D"/>
    <w:rsid w:val="00676013"/>
    <w:rsid w:val="0068442F"/>
    <w:rsid w:val="006A05E9"/>
    <w:rsid w:val="006B7A64"/>
    <w:rsid w:val="007852CA"/>
    <w:rsid w:val="007974B6"/>
    <w:rsid w:val="007A0226"/>
    <w:rsid w:val="008031F0"/>
    <w:rsid w:val="008254F5"/>
    <w:rsid w:val="00834603"/>
    <w:rsid w:val="00864D18"/>
    <w:rsid w:val="00864FBD"/>
    <w:rsid w:val="00876A6E"/>
    <w:rsid w:val="00951BC2"/>
    <w:rsid w:val="009A5E17"/>
    <w:rsid w:val="009B29A6"/>
    <w:rsid w:val="00A01156"/>
    <w:rsid w:val="00A2040C"/>
    <w:rsid w:val="00A30F91"/>
    <w:rsid w:val="00A56137"/>
    <w:rsid w:val="00AA2ACE"/>
    <w:rsid w:val="00BB7347"/>
    <w:rsid w:val="00BC514F"/>
    <w:rsid w:val="00C251B0"/>
    <w:rsid w:val="00CA398B"/>
    <w:rsid w:val="00CC24DB"/>
    <w:rsid w:val="00CD7657"/>
    <w:rsid w:val="00D54180"/>
    <w:rsid w:val="00DC24B6"/>
    <w:rsid w:val="00DD7BF8"/>
    <w:rsid w:val="00DF7E0F"/>
    <w:rsid w:val="00E03510"/>
    <w:rsid w:val="00E06740"/>
    <w:rsid w:val="00E3501A"/>
    <w:rsid w:val="00EB079A"/>
    <w:rsid w:val="00F22AEC"/>
    <w:rsid w:val="00FF6014"/>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B1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4" Type="http://schemas.openxmlformats.org/officeDocument/2006/relationships/image" Target="media/image1.png"/><Relationship Id="rId10" Type="http://schemas.openxmlformats.org/officeDocument/2006/relationships/fontTable" Target="fontTable.xml"/><Relationship Id="rId5" Type="http://schemas.openxmlformats.org/officeDocument/2006/relationships/image" Target="media/image2.png"/><Relationship Id="rId7" Type="http://schemas.openxmlformats.org/officeDocument/2006/relationships/image" Target="media/image4.png"/><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chart" Target="charts/chart1.xml"/><Relationship Id="rId3" Type="http://schemas.openxmlformats.org/officeDocument/2006/relationships/webSettings" Target="webSettings.xml"/><Relationship Id="rId6"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tudent:Downloads:CNI%20wf%20gr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0878108048993876"/>
          <c:y val="0.0740740740740741"/>
          <c:w val="0.851862860892388"/>
          <c:h val="0.898148148148148"/>
        </c:manualLayout>
      </c:layout>
      <c:scatterChart>
        <c:scatterStyle val="lineMarker"/>
        <c:ser>
          <c:idx val="0"/>
          <c:order val="0"/>
          <c:spPr>
            <a:ln w="47625">
              <a:noFill/>
            </a:ln>
          </c:spPr>
          <c:trendline>
            <c:trendlineType val="linear"/>
            <c:dispRSqr val="1"/>
            <c:dispEq val="1"/>
            <c:trendlineLbl>
              <c:layout>
                <c:manualLayout>
                  <c:x val="0.102544838145232"/>
                  <c:y val="0.180555555555556"/>
                </c:manualLayout>
              </c:layout>
              <c:numFmt formatCode="General" sourceLinked="0"/>
            </c:trendlineLbl>
          </c:trendline>
          <c:xVal>
            <c:numRef>
              <c:f>'S09_M3D6_WF-Grey_CNI.txt'!$B$23:$B$30</c:f>
              <c:numCache>
                <c:formatCode>General</c:formatCode>
                <c:ptCount val="8"/>
                <c:pt idx="0">
                  <c:v>1.0</c:v>
                </c:pt>
                <c:pt idx="1">
                  <c:v>0.5</c:v>
                </c:pt>
                <c:pt idx="2">
                  <c:v>0.25</c:v>
                </c:pt>
                <c:pt idx="3">
                  <c:v>0.125</c:v>
                </c:pt>
                <c:pt idx="4">
                  <c:v>0.0625</c:v>
                </c:pt>
                <c:pt idx="5">
                  <c:v>0.03125</c:v>
                </c:pt>
                <c:pt idx="6">
                  <c:v>0.015625</c:v>
                </c:pt>
                <c:pt idx="7">
                  <c:v>0.0078125</c:v>
                </c:pt>
              </c:numCache>
            </c:numRef>
          </c:xVal>
          <c:yVal>
            <c:numRef>
              <c:f>'S09_M3D6_WF-Grey_CNI.txt'!$C$23:$C$30</c:f>
              <c:numCache>
                <c:formatCode>General</c:formatCode>
                <c:ptCount val="8"/>
                <c:pt idx="0">
                  <c:v>0.938825</c:v>
                </c:pt>
                <c:pt idx="1">
                  <c:v>0.438825</c:v>
                </c:pt>
                <c:pt idx="2">
                  <c:v>0.188825</c:v>
                </c:pt>
                <c:pt idx="3">
                  <c:v>0.063825</c:v>
                </c:pt>
                <c:pt idx="4">
                  <c:v>0.00132499999999999</c:v>
                </c:pt>
                <c:pt idx="5">
                  <c:v>-0.029925</c:v>
                </c:pt>
                <c:pt idx="6">
                  <c:v>-0.04555</c:v>
                </c:pt>
                <c:pt idx="7">
                  <c:v>-0.0533625</c:v>
                </c:pt>
              </c:numCache>
            </c:numRef>
          </c:yVal>
        </c:ser>
        <c:axId val="523386312"/>
        <c:axId val="523619688"/>
      </c:scatterChart>
      <c:valAx>
        <c:axId val="523386312"/>
        <c:scaling>
          <c:orientation val="minMax"/>
        </c:scaling>
        <c:axPos val="b"/>
        <c:numFmt formatCode="General" sourceLinked="1"/>
        <c:tickLblPos val="nextTo"/>
        <c:crossAx val="523619688"/>
        <c:crosses val="autoZero"/>
        <c:crossBetween val="midCat"/>
      </c:valAx>
      <c:valAx>
        <c:axId val="523619688"/>
        <c:scaling>
          <c:orientation val="minMax"/>
        </c:scaling>
        <c:axPos val="l"/>
        <c:majorGridlines/>
        <c:numFmt formatCode="General" sourceLinked="1"/>
        <c:tickLblPos val="nextTo"/>
        <c:crossAx val="523386312"/>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8</Pages>
  <Words>1296</Words>
  <Characters>7390</Characters>
  <Application>Microsoft Word 12.1.2</Application>
  <DocSecurity>0</DocSecurity>
  <Lines>61</Lines>
  <Paragraphs>14</Paragraphs>
  <ScaleCrop>false</ScaleCrop>
  <Company>MIT</Company>
  <LinksUpToDate>false</LinksUpToDate>
  <CharactersWithSpaces>9075</CharactersWithSpaces>
  <SharedDoc>false</SharedDoc>
  <HyperlinksChanged>false</HyperlinksChanged>
  <AppVersion>12.0258</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librarian</dc:creator>
  <cp:keywords/>
  <cp:lastModifiedBy>software librarian</cp:lastModifiedBy>
  <cp:revision>54</cp:revision>
  <dcterms:created xsi:type="dcterms:W3CDTF">2009-05-08T18:40:00Z</dcterms:created>
  <dcterms:modified xsi:type="dcterms:W3CDTF">2009-05-08T21:16:00Z</dcterms:modified>
</cp:coreProperties>
</file>